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/>
          <w:b/>
          <w:sz w:val="48"/>
          <w:szCs w:val="52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32"/>
          <w:lang w:val="en-US" w:eastAsia="zh-CN"/>
        </w:rPr>
        <w:t>附件3：</w:t>
      </w:r>
      <w:bookmarkStart w:id="1" w:name="_GoBack"/>
      <w:bookmarkEnd w:id="1"/>
    </w:p>
    <w:p>
      <w:pPr>
        <w:spacing w:line="360" w:lineRule="auto"/>
        <w:jc w:val="center"/>
        <w:rPr>
          <w:rFonts w:hint="eastAsia" w:ascii="Arial" w:hAnsi="Arial" w:eastAsia="宋体" w:cs="Arial"/>
          <w:b/>
          <w:sz w:val="36"/>
          <w:szCs w:val="36"/>
          <w:lang w:val="en-US" w:eastAsia="zh-CN"/>
        </w:rPr>
      </w:pPr>
      <w:r>
        <w:rPr>
          <w:rFonts w:hint="eastAsia" w:ascii="Arial" w:hAnsi="Arial" w:cs="Arial"/>
          <w:b/>
          <w:sz w:val="36"/>
          <w:szCs w:val="36"/>
          <w:lang w:val="en-US" w:eastAsia="zh-CN"/>
        </w:rPr>
        <w:t>评分标准</w:t>
      </w:r>
    </w:p>
    <w:tbl>
      <w:tblPr>
        <w:tblStyle w:val="3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2435"/>
        <w:gridCol w:w="5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序号</w:t>
            </w:r>
          </w:p>
        </w:tc>
        <w:tc>
          <w:tcPr>
            <w:tcW w:w="24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项目</w:t>
            </w:r>
          </w:p>
        </w:tc>
        <w:tc>
          <w:tcPr>
            <w:tcW w:w="574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1</w:t>
            </w:r>
          </w:p>
        </w:tc>
        <w:tc>
          <w:tcPr>
            <w:tcW w:w="24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Cs w:val="21"/>
                <w:highlight w:val="yellow"/>
              </w:rPr>
            </w:pPr>
            <w:r>
              <w:rPr>
                <w:rFonts w:hint="default" w:ascii="Arial" w:hAnsi="Arial" w:cs="Arial"/>
                <w:szCs w:val="21"/>
              </w:rPr>
              <w:t>投标人中牵头主承销商公司资质（15分）</w:t>
            </w:r>
          </w:p>
        </w:tc>
        <w:tc>
          <w:tcPr>
            <w:tcW w:w="5741" w:type="dxa"/>
          </w:tcPr>
          <w:p>
            <w:pPr>
              <w:snapToGrid w:val="0"/>
              <w:spacing w:line="360" w:lineRule="auto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1、以《证监会公布2019年证券公司分类结果》及《证监会公布2020年证券公司分类结果》为准，投标人中每家主承销商连续两年分类结果为A级及以上的，得5分；连续两年分类结果为BBB级的，得3分；连续两年分类结果为BBB及以下的，得1分。（0-10分）</w:t>
            </w:r>
          </w:p>
          <w:p>
            <w:pPr>
              <w:snapToGrid w:val="0"/>
              <w:spacing w:line="360" w:lineRule="auto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2、投标人中至少一家主承销商在徐州大市内设立分支机构（分公司或营业部）的可得5分，未设不得分。（提供分支机构营业执照复印件并加盖公章）。（0-5分）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  <w:jc w:val="center"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2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spacing w:line="360" w:lineRule="auto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发行方案、募集方案（10分）</w:t>
            </w:r>
          </w:p>
        </w:tc>
        <w:tc>
          <w:tcPr>
            <w:tcW w:w="5741" w:type="dxa"/>
          </w:tcPr>
          <w:p>
            <w:pPr>
              <w:snapToGrid w:val="0"/>
              <w:spacing w:line="360" w:lineRule="auto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针对本项目发行私募公司债券发行方案及募集方案的优劣打分，包括但不限于本次债券的预计利率水平、资金用途、发行进度、承销方式等。并重点对申报、发行工作的重点、难点以及应对方案等进行详细分析。</w:t>
            </w:r>
          </w:p>
          <w:p>
            <w:pPr>
              <w:snapToGrid w:val="0"/>
              <w:spacing w:line="360" w:lineRule="auto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1、投标人针对本项目拟发行方案及募集方案建议，内容明晰、理解透彻、科学合理的得5分（含）-4分（含）；内容基本清楚的得4分（不含）-2分（含）；内容简单、粗糙的得2分（不含）以下。（0-5分）</w:t>
            </w:r>
          </w:p>
          <w:p>
            <w:pPr>
              <w:spacing w:line="360" w:lineRule="auto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2、投标人针对市场实际情况、招标人自身及项目情况进行综合分析优5分（含）-4分（含）；良4分（不含）-2分（含）；一般2分（不含）以下。（0-5分）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3</w:t>
            </w:r>
          </w:p>
        </w:tc>
        <w:tc>
          <w:tcPr>
            <w:tcW w:w="24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项目组织、管理（5分）</w:t>
            </w:r>
          </w:p>
        </w:tc>
        <w:tc>
          <w:tcPr>
            <w:tcW w:w="5741" w:type="dxa"/>
          </w:tcPr>
          <w:p>
            <w:pPr>
              <w:snapToGrid w:val="0"/>
              <w:spacing w:line="360" w:lineRule="auto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1、项目进度计划（0-1分）</w:t>
            </w:r>
          </w:p>
          <w:p>
            <w:pPr>
              <w:snapToGrid w:val="0"/>
              <w:spacing w:line="360" w:lineRule="auto"/>
              <w:rPr>
                <w:rFonts w:hint="default" w:ascii="Arial" w:hAnsi="Arial" w:cs="Arial"/>
                <w:szCs w:val="21"/>
              </w:rPr>
            </w:pPr>
            <w:bookmarkStart w:id="0" w:name="_Hlk65239413"/>
            <w:r>
              <w:rPr>
                <w:rFonts w:hint="default" w:ascii="Arial" w:hAnsi="Arial" w:cs="Arial"/>
                <w:szCs w:val="21"/>
              </w:rPr>
              <w:t>2、项目风险评估及风险管理措施</w:t>
            </w:r>
            <w:bookmarkEnd w:id="0"/>
            <w:r>
              <w:rPr>
                <w:rFonts w:hint="default" w:ascii="Arial" w:hAnsi="Arial" w:cs="Arial"/>
                <w:szCs w:val="21"/>
              </w:rPr>
              <w:t>（0-2分）</w:t>
            </w:r>
          </w:p>
          <w:p>
            <w:pPr>
              <w:snapToGrid w:val="0"/>
              <w:spacing w:line="360" w:lineRule="auto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3、团队人员组成（0-2分）（根据投入本项目团队人员的资质和技术水平打分）</w:t>
            </w:r>
          </w:p>
          <w:p>
            <w:pPr>
              <w:snapToGrid w:val="0"/>
              <w:spacing w:line="360" w:lineRule="auto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团队成员中拥有注册会计师资格证得1分，拥有律师资格证得1分。（一人多证按一证计算）。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4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spacing w:line="360" w:lineRule="auto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投标人中牵头主承销商江苏省债券承销业绩（50分）</w:t>
            </w:r>
          </w:p>
        </w:tc>
        <w:tc>
          <w:tcPr>
            <w:tcW w:w="5741" w:type="dxa"/>
          </w:tcPr>
          <w:p>
            <w:pPr>
              <w:snapToGrid w:val="0"/>
              <w:spacing w:line="360" w:lineRule="auto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1、以wind资讯金融终端查询结果为准，债券-专题统计-一级市场-承销统计-债券承销分地域排名，地域选择为“江苏”，查询区间为，“2020/1/1-2020/12/31”，机构类型为“证券”，选择“江苏”后提取排名；牵头主承销商承销金额500亿（不含）以上的得25分，400（不含）-500亿的得20分，300（不含）-400亿的15分，200（不含）-300亿的得10分，100（不含）-200亿的得5分，100亿及以下得3分。</w:t>
            </w:r>
          </w:p>
          <w:p>
            <w:pPr>
              <w:snapToGrid w:val="0"/>
              <w:spacing w:line="360" w:lineRule="auto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2、以wind资讯金融终端查询结果为准，债券-专题统计-一级市场-承销统计-债券承销分地域排名，地域选择为“江苏”，查询区间为，“2020/1/1-2020/12/31”，机构类型为“证券”，选择“江苏”后提取排名；牵头主承销商承销金额100只（不含）以上的得25分，80只（不含）-100只的得20分，60只（不含）-80只的得15分，40只（不含）-60只的得10分，20只（不含）-40只的得5分，20只及以下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5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spacing w:line="360" w:lineRule="auto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投标人中牵头主承销商徐州市债券承销业绩（20分）</w:t>
            </w:r>
          </w:p>
          <w:p>
            <w:pPr>
              <w:spacing w:line="360" w:lineRule="auto"/>
              <w:jc w:val="center"/>
              <w:rPr>
                <w:rFonts w:hint="default" w:ascii="Arial" w:hAnsi="Arial" w:cs="Arial"/>
                <w:szCs w:val="21"/>
              </w:rPr>
            </w:pPr>
          </w:p>
        </w:tc>
        <w:tc>
          <w:tcPr>
            <w:tcW w:w="5741" w:type="dxa"/>
          </w:tcPr>
          <w:p>
            <w:pPr>
              <w:adjustRightInd w:val="0"/>
              <w:snapToGrid w:val="0"/>
              <w:spacing w:line="360" w:lineRule="auto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以Wind资讯金融终端查询结果为准，债券-数据浏览器：待选范围-信用债地域分类，地域选择为“徐州”；待选指标-债券指标-基本资料-基本要素，选择发行总额及起息日期；待选指标-债券指标-信用分析指标-发行时评级，选择“发行时主体评级”；待选指标-债券指标-基本资料-债券分类，选择“Wind债券一级分类”；待选指标-债券指标-发行兑付资料-中介机构，选择主承销商。选择2020年1月1日-2020年12月31日间起息，且发行时主体评级为AA的公司债券，根据投标人中牵头主承销商承销金额（仅统计单独主承销或作为牵头主承销商的业绩，无需按承销比例切分规模）。第一名得20分，第二名的15分，第三名得10分，第四名得5分，其余得3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E0746"/>
    <w:rsid w:val="0F0E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2021-06-01T14:48:00Z</dcterms:created>
  <dc:creator>Administrator</dc:creator>
  <cp:lastModifiedBy>Administrator</cp:lastModifiedBy>
  <dcterms:modified xsi:type="dcterms:W3CDTF">2021-06-01T14:50:18Z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