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spacing w:val="-20"/>
          <w:sz w:val="36"/>
          <w:szCs w:val="36"/>
        </w:rPr>
        <w:t>邳州市金融中心</w:t>
      </w:r>
      <w:r>
        <w:rPr>
          <w:rFonts w:hint="eastAsia" w:ascii="仿宋" w:hAnsi="仿宋" w:eastAsia="仿宋"/>
          <w:b/>
          <w:bCs/>
          <w:color w:val="000000"/>
          <w:spacing w:val="-20"/>
          <w:sz w:val="36"/>
          <w:szCs w:val="36"/>
          <w:lang w:val="en-US" w:eastAsia="zh-CN"/>
        </w:rPr>
        <w:t>4号楼</w:t>
      </w:r>
      <w:r>
        <w:rPr>
          <w:rFonts w:hint="eastAsia" w:ascii="仿宋" w:hAnsi="仿宋" w:eastAsia="仿宋"/>
          <w:b/>
          <w:bCs/>
          <w:color w:val="000000"/>
          <w:spacing w:val="-20"/>
          <w:sz w:val="36"/>
          <w:szCs w:val="36"/>
          <w:lang w:eastAsia="zh-CN"/>
        </w:rPr>
        <w:t>电梯</w:t>
      </w:r>
      <w:r>
        <w:rPr>
          <w:rFonts w:hint="eastAsia" w:ascii="仿宋" w:hAnsi="仿宋" w:eastAsia="仿宋"/>
          <w:b/>
          <w:bCs/>
          <w:color w:val="000000"/>
          <w:spacing w:val="-20"/>
          <w:sz w:val="36"/>
          <w:szCs w:val="36"/>
        </w:rPr>
        <w:t>采购</w:t>
      </w:r>
      <w:r>
        <w:rPr>
          <w:rFonts w:hint="eastAsia" w:ascii="仿宋" w:hAnsi="仿宋" w:eastAsia="仿宋"/>
          <w:b/>
          <w:bCs/>
          <w:color w:val="000000"/>
          <w:spacing w:val="-20"/>
          <w:sz w:val="36"/>
          <w:szCs w:val="36"/>
          <w:lang w:val="en-US" w:eastAsia="zh-CN"/>
        </w:rPr>
        <w:t>安装工程</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邳州市陇海城乡开发建设有限公司</w:t>
      </w:r>
    </w:p>
    <w:p>
      <w:pPr>
        <w:pStyle w:val="30"/>
      </w:pPr>
    </w:p>
    <w:p>
      <w:pPr>
        <w:spacing w:line="520" w:lineRule="exact"/>
        <w:ind w:firstLine="1265" w:firstLineChars="350"/>
        <w:rPr>
          <w:rFonts w:ascii="仿宋" w:hAnsi="仿宋" w:eastAsia="仿宋"/>
          <w:b/>
          <w:sz w:val="36"/>
          <w:szCs w:val="36"/>
        </w:rPr>
      </w:pPr>
    </w:p>
    <w:p>
      <w:pPr>
        <w:spacing w:line="520" w:lineRule="exact"/>
        <w:ind w:firstLine="723" w:firstLineChars="200"/>
        <w:rPr>
          <w:rFonts w:ascii="仿宋" w:hAnsi="仿宋" w:eastAsia="仿宋" w:cs="Arial"/>
          <w:b/>
          <w:color w:val="000000"/>
          <w:spacing w:val="6"/>
          <w:sz w:val="36"/>
          <w:szCs w:val="36"/>
        </w:rPr>
      </w:pPr>
      <w:r>
        <w:rPr>
          <w:rFonts w:hint="eastAsia" w:ascii="仿宋" w:hAnsi="仿宋" w:eastAsia="仿宋"/>
          <w:b/>
          <w:sz w:val="36"/>
          <w:szCs w:val="36"/>
        </w:rPr>
        <w:t>招标代理机构：</w:t>
      </w:r>
      <w:r>
        <w:rPr>
          <w:rFonts w:hint="eastAsia" w:ascii="仿宋" w:hAnsi="仿宋" w:eastAsia="仿宋" w:cs="Arial"/>
          <w:b/>
          <w:color w:val="000000"/>
          <w:spacing w:val="6"/>
          <w:sz w:val="36"/>
          <w:szCs w:val="36"/>
        </w:rPr>
        <w:t>邳州市开元招投标代理有限公司</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hint="default" w:ascii="仿宋" w:hAnsi="仿宋" w:eastAsia="仿宋"/>
          <w:b/>
          <w:sz w:val="36"/>
          <w:szCs w:val="36"/>
          <w:lang w:val="en-US" w:eastAsia="zh-CN"/>
        </w:rPr>
      </w:pPr>
      <w:r>
        <w:rPr>
          <w:rFonts w:hint="eastAsia" w:ascii="仿宋" w:hAnsi="仿宋" w:eastAsia="仿宋"/>
          <w:b/>
          <w:sz w:val="36"/>
          <w:szCs w:val="36"/>
        </w:rPr>
        <w:t>编制日期：2023年</w:t>
      </w:r>
      <w:r>
        <w:rPr>
          <w:rFonts w:hint="eastAsia" w:ascii="仿宋" w:hAnsi="仿宋" w:eastAsia="仿宋"/>
          <w:b/>
          <w:sz w:val="36"/>
          <w:szCs w:val="36"/>
          <w:lang w:val="en-US" w:eastAsia="zh-CN"/>
        </w:rPr>
        <w:t>10</w:t>
      </w:r>
      <w:r>
        <w:rPr>
          <w:rFonts w:hint="eastAsia" w:ascii="仿宋" w:hAnsi="仿宋" w:eastAsia="仿宋"/>
          <w:b/>
          <w:sz w:val="36"/>
          <w:szCs w:val="36"/>
        </w:rPr>
        <w:t>月</w:t>
      </w:r>
      <w:r>
        <w:rPr>
          <w:rFonts w:hint="eastAsia" w:ascii="仿宋" w:hAnsi="仿宋" w:eastAsia="仿宋"/>
          <w:b/>
          <w:sz w:val="36"/>
          <w:szCs w:val="36"/>
          <w:lang w:val="en-US" w:eastAsia="zh-CN"/>
        </w:rPr>
        <w:t>9日</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rPr>
            </w:pPr>
            <w:r>
              <w:rPr>
                <w:rFonts w:hint="eastAsia" w:ascii="仿宋" w:hAnsi="仿宋" w:eastAsia="仿宋"/>
                <w:b/>
                <w:spacing w:val="197"/>
              </w:rPr>
              <w:t>2.</w:t>
            </w:r>
            <w:r>
              <w:rPr>
                <w:rFonts w:hint="eastAsia" w:ascii="仿宋" w:hAnsi="仿宋" w:eastAsia="仿宋"/>
                <w:b/>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ascii="仿宋" w:hAnsi="仿宋" w:eastAsia="仿宋" w:cs="Arial"/>
                <w:bCs/>
                <w:sz w:val="28"/>
                <w:szCs w:val="28"/>
              </w:rPr>
            </w:pPr>
            <w:r>
              <w:rPr>
                <w:rFonts w:hint="eastAsia" w:ascii="仿宋" w:hAnsi="仿宋" w:eastAsia="仿宋"/>
                <w:sz w:val="28"/>
                <w:szCs w:val="28"/>
              </w:rPr>
              <w:t>招标人名称：</w:t>
            </w:r>
            <w:r>
              <w:rPr>
                <w:rFonts w:hint="eastAsia" w:ascii="仿宋" w:hAnsi="仿宋" w:eastAsia="仿宋" w:cs="Arial"/>
                <w:bCs/>
                <w:sz w:val="28"/>
                <w:szCs w:val="28"/>
              </w:rPr>
              <w:t>邳州市陇海城乡开发建设有限公司</w:t>
            </w:r>
          </w:p>
          <w:p>
            <w:pPr>
              <w:spacing w:line="520" w:lineRule="exact"/>
              <w:jc w:val="left"/>
              <w:rPr>
                <w:rFonts w:hint="default" w:ascii="仿宋" w:hAnsi="仿宋" w:eastAsia="仿宋" w:cs="宋体"/>
                <w:kern w:val="0"/>
                <w:sz w:val="28"/>
                <w:szCs w:val="28"/>
                <w:lang w:val="en-US" w:eastAsia="zh-CN"/>
              </w:rPr>
            </w:pPr>
            <w:r>
              <w:rPr>
                <w:rFonts w:hint="eastAsia" w:ascii="仿宋" w:hAnsi="仿宋" w:eastAsia="仿宋"/>
                <w:sz w:val="28"/>
                <w:szCs w:val="28"/>
              </w:rPr>
              <w:t xml:space="preserve">联  系  人： </w:t>
            </w:r>
            <w:r>
              <w:rPr>
                <w:rFonts w:hint="eastAsia" w:ascii="仿宋" w:hAnsi="仿宋" w:eastAsia="仿宋"/>
                <w:sz w:val="28"/>
                <w:szCs w:val="28"/>
                <w:lang w:val="en-US" w:eastAsia="zh-CN"/>
              </w:rPr>
              <w:t>韩佳恒</w:t>
            </w:r>
          </w:p>
          <w:p>
            <w:pPr>
              <w:spacing w:line="520" w:lineRule="exact"/>
              <w:jc w:val="left"/>
              <w:rPr>
                <w:rFonts w:hint="default" w:ascii="仿宋" w:hAnsi="仿宋" w:eastAsia="仿宋" w:cs="Arial"/>
                <w:sz w:val="28"/>
                <w:szCs w:val="28"/>
                <w:lang w:val="en-US" w:eastAsia="zh-CN"/>
              </w:rPr>
            </w:pPr>
            <w:r>
              <w:rPr>
                <w:rFonts w:hint="eastAsia" w:ascii="仿宋" w:hAnsi="仿宋" w:eastAsia="仿宋"/>
                <w:sz w:val="28"/>
                <w:szCs w:val="28"/>
              </w:rPr>
              <w:t xml:space="preserve">电      话： </w:t>
            </w:r>
            <w:r>
              <w:rPr>
                <w:rFonts w:hint="eastAsia" w:ascii="仿宋" w:hAnsi="仿宋" w:eastAsia="仿宋"/>
                <w:sz w:val="28"/>
                <w:szCs w:val="28"/>
                <w:lang w:val="en-US" w:eastAsia="zh-CN"/>
              </w:rPr>
              <w:t>18061111983</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00"/>
                <w:sz w:val="28"/>
                <w:szCs w:val="28"/>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rPr>
              <w:t>邳州市金融中心</w:t>
            </w:r>
            <w:r>
              <w:rPr>
                <w:rFonts w:hint="eastAsia" w:ascii="仿宋" w:hAnsi="仿宋" w:eastAsia="仿宋"/>
                <w:bCs/>
                <w:color w:val="000000"/>
                <w:sz w:val="28"/>
                <w:szCs w:val="28"/>
                <w:lang w:eastAsia="zh-CN"/>
              </w:rPr>
              <w:t>电梯</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36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pacing w:val="197"/>
                <w:kern w:val="0"/>
                <w14:textFill>
                  <w14:solidFill>
                    <w14:schemeClr w14:val="tx1"/>
                  </w14:solidFill>
                </w14:textFill>
              </w:rPr>
            </w:pP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代理机构名称：</w:t>
            </w:r>
            <w:r>
              <w:rPr>
                <w:rFonts w:hint="eastAsia" w:ascii="仿宋" w:hAnsi="仿宋" w:eastAsia="仿宋" w:cs="Arial"/>
                <w:color w:val="000000" w:themeColor="text1"/>
                <w:kern w:val="0"/>
                <w:sz w:val="28"/>
                <w:szCs w:val="28"/>
                <w14:textFill>
                  <w14:solidFill>
                    <w14:schemeClr w14:val="tx1"/>
                  </w14:solidFill>
                </w14:textFill>
              </w:rPr>
              <w:t>邳州市开元招投标代理有限公司</w:t>
            </w:r>
          </w:p>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联系人：王大凯</w:t>
            </w:r>
          </w:p>
          <w:p>
            <w:pPr>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联系电话：0516-67032037</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报价方式：采用固定单价报价（包含所提供的货物的设计、生产制造、全程运输、装卸、安装以及售后服务等全部费用。并承担各类风险的费用。投标人一旦中标，招标人将不会对其报价做出其他补偿。）</w:t>
            </w:r>
          </w:p>
          <w:p>
            <w:pPr>
              <w:spacing w:line="360" w:lineRule="exact"/>
              <w:rPr>
                <w:rFonts w:ascii="仿宋" w:hAnsi="仿宋" w:eastAsia="仿宋" w:cs="仿宋"/>
                <w:b/>
                <w:color w:val="FF0000"/>
                <w:kern w:val="0"/>
                <w:sz w:val="28"/>
                <w:szCs w:val="28"/>
              </w:rPr>
            </w:pPr>
            <w:r>
              <w:rPr>
                <w:rFonts w:hint="eastAsia" w:ascii="仿宋" w:hAnsi="仿宋" w:eastAsia="仿宋" w:cs="仿宋"/>
                <w:b/>
                <w:kern w:val="0"/>
                <w:sz w:val="28"/>
                <w:szCs w:val="28"/>
              </w:rPr>
              <w:t>本项目最高限价人民币：</w:t>
            </w:r>
            <w:r>
              <w:rPr>
                <w:rFonts w:hint="eastAsia" w:ascii="仿宋" w:hAnsi="仿宋" w:eastAsia="仿宋" w:cs="仿宋"/>
                <w:b/>
                <w:kern w:val="0"/>
                <w:sz w:val="28"/>
                <w:szCs w:val="28"/>
                <w:lang w:val="en-US" w:eastAsia="zh-CN"/>
              </w:rPr>
              <w:t>20万元</w:t>
            </w:r>
            <w:r>
              <w:rPr>
                <w:rFonts w:hint="eastAsia" w:ascii="仿宋" w:hAnsi="仿宋" w:eastAsia="仿宋" w:cs="仿宋"/>
                <w:b/>
                <w:kern w:val="0"/>
                <w:sz w:val="28"/>
                <w:szCs w:val="28"/>
              </w:rPr>
              <w:t>（最终以实际供货量为结算依据）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报价货币：人民币</w:t>
            </w:r>
          </w:p>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招标范围：空调设备安装调试</w:t>
            </w:r>
            <w:r>
              <w:rPr>
                <w:rFonts w:hint="eastAsia" w:ascii="仿宋" w:hAnsi="仿宋" w:eastAsia="仿宋" w:cs="仿宋"/>
                <w:bCs/>
                <w:color w:val="000000" w:themeColor="text1"/>
                <w:kern w:val="0"/>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本文件招标参数要求全部内容。</w:t>
            </w:r>
          </w:p>
          <w:p>
            <w:pPr>
              <w:spacing w:line="360" w:lineRule="exact"/>
              <w:jc w:val="left"/>
              <w:rPr>
                <w:rFonts w:ascii="仿宋" w:hAnsi="仿宋" w:eastAsia="仿宋" w:cs="仿宋"/>
                <w:i/>
                <w:color w:val="FF0000"/>
                <w:sz w:val="18"/>
              </w:rPr>
            </w:pPr>
            <w:r>
              <w:rPr>
                <w:rFonts w:hint="eastAsia" w:ascii="仿宋" w:hAnsi="仿宋" w:eastAsia="仿宋" w:cs="仿宋"/>
                <w:kern w:val="0"/>
                <w:sz w:val="28"/>
                <w:szCs w:val="28"/>
              </w:rPr>
              <w:t>履行期限：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日历天内将合同标的全部交付并安装完毕。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本工程投标保证金为</w:t>
            </w:r>
            <w:r>
              <w:rPr>
                <w:rFonts w:hint="eastAsia" w:ascii="仿宋" w:hAnsi="仿宋" w:eastAsia="仿宋"/>
                <w:b/>
                <w:bCs/>
                <w:kern w:val="0"/>
                <w:sz w:val="28"/>
                <w:szCs w:val="28"/>
                <w:u w:val="single"/>
              </w:rPr>
              <w:t>电汇方式</w:t>
            </w:r>
            <w:r>
              <w:rPr>
                <w:rFonts w:hint="eastAsia" w:ascii="仿宋" w:hAnsi="仿宋" w:eastAsia="仿宋"/>
                <w:bCs/>
                <w:kern w:val="0"/>
                <w:sz w:val="28"/>
                <w:szCs w:val="28"/>
              </w:rPr>
              <w:t>；</w:t>
            </w:r>
          </w:p>
          <w:p>
            <w:pPr>
              <w:spacing w:line="360" w:lineRule="exact"/>
              <w:rPr>
                <w:rFonts w:ascii="仿宋" w:hAnsi="仿宋" w:eastAsia="仿宋"/>
                <w:bCs/>
                <w:kern w:val="0"/>
                <w:sz w:val="28"/>
                <w:szCs w:val="28"/>
              </w:rPr>
            </w:pPr>
            <w:r>
              <w:rPr>
                <w:rFonts w:hint="eastAsia" w:ascii="仿宋" w:hAnsi="仿宋" w:eastAsia="仿宋"/>
                <w:bCs/>
                <w:kern w:val="0"/>
                <w:sz w:val="28"/>
                <w:szCs w:val="28"/>
              </w:rPr>
              <w:t>递交方式：银行电汇(必须从投标申请人法人基本存款账户开户行开出)，由邳州市陇海城乡开发建设有限公司确认足额交纳后，方可参加投标。</w:t>
            </w:r>
          </w:p>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本工程投标保证金金额为（人民币）：</w:t>
            </w:r>
            <w:r>
              <w:rPr>
                <w:rFonts w:hint="eastAsia" w:ascii="仿宋" w:hAnsi="仿宋" w:eastAsia="仿宋"/>
                <w:b/>
                <w:bCs/>
                <w:kern w:val="0"/>
                <w:sz w:val="28"/>
                <w:szCs w:val="28"/>
                <w:u w:val="single"/>
                <w:lang w:val="en-US" w:eastAsia="zh-CN"/>
              </w:rPr>
              <w:t xml:space="preserve">  /  </w:t>
            </w:r>
            <w:r>
              <w:rPr>
                <w:rFonts w:hint="eastAsia" w:ascii="仿宋" w:hAnsi="仿宋" w:eastAsia="仿宋"/>
                <w:b/>
                <w:bCs/>
                <w:kern w:val="0"/>
                <w:sz w:val="28"/>
                <w:szCs w:val="28"/>
                <w:u w:val="single"/>
              </w:rPr>
              <w:t>元</w:t>
            </w:r>
            <w:r>
              <w:rPr>
                <w:rFonts w:hint="eastAsia" w:ascii="仿宋" w:hAnsi="仿宋" w:eastAsia="仿宋"/>
                <w:bCs/>
                <w:kern w:val="0"/>
                <w:sz w:val="28"/>
                <w:szCs w:val="28"/>
              </w:rPr>
              <w:t>。</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收款人：</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 xml:space="preserve">开户行： </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 xml:space="preserve">开户账号： </w:t>
            </w:r>
          </w:p>
          <w:p>
            <w:pPr>
              <w:spacing w:line="520" w:lineRule="exact"/>
              <w:ind w:firstLine="560" w:firstLineChars="200"/>
              <w:jc w:val="left"/>
              <w:rPr>
                <w:rFonts w:hint="eastAsia" w:ascii="仿宋" w:hAnsi="仿宋" w:eastAsia="仿宋" w:cs="宋体"/>
                <w:kern w:val="0"/>
                <w:sz w:val="28"/>
                <w:szCs w:val="28"/>
                <w:highlight w:val="none"/>
                <w:lang w:val="en-US" w:eastAsia="zh-CN"/>
              </w:rPr>
            </w:pPr>
            <w:r>
              <w:rPr>
                <w:rFonts w:hint="eastAsia" w:ascii="仿宋" w:hAnsi="仿宋" w:eastAsia="仿宋"/>
                <w:sz w:val="28"/>
                <w:szCs w:val="28"/>
                <w:highlight w:val="none"/>
              </w:rPr>
              <w:t xml:space="preserve">联系人： </w:t>
            </w:r>
          </w:p>
          <w:p>
            <w:pPr>
              <w:spacing w:line="360" w:lineRule="exact"/>
              <w:ind w:firstLine="560" w:firstLineChars="200"/>
              <w:rPr>
                <w:rFonts w:hint="default" w:ascii="仿宋" w:hAnsi="仿宋" w:eastAsia="仿宋"/>
                <w:bCs/>
                <w:kern w:val="0"/>
                <w:sz w:val="28"/>
                <w:szCs w:val="28"/>
                <w:highlight w:val="none"/>
                <w:lang w:val="en-US" w:eastAsia="zh-CN"/>
              </w:rPr>
            </w:pPr>
            <w:r>
              <w:rPr>
                <w:rFonts w:hint="eastAsia" w:ascii="仿宋" w:hAnsi="仿宋" w:eastAsia="仿宋"/>
                <w:sz w:val="28"/>
                <w:szCs w:val="28"/>
                <w:highlight w:val="none"/>
              </w:rPr>
              <w:t xml:space="preserve">电话： </w:t>
            </w:r>
          </w:p>
          <w:p>
            <w:pPr>
              <w:spacing w:line="360" w:lineRule="exac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（1）报价函</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（2）二次报价函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（3）</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（4）</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（5）</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（6）品牌检测报告</w:t>
            </w:r>
          </w:p>
          <w:p>
            <w:pPr>
              <w:pStyle w:val="30"/>
              <w:ind w:firstLine="0" w:firstLineChars="0"/>
              <w:rPr>
                <w:rFonts w:eastAsia="仿宋"/>
              </w:rPr>
            </w:pPr>
            <w:r>
              <w:rPr>
                <w:rFonts w:hint="eastAsia" w:ascii="仿宋" w:hAnsi="仿宋" w:eastAsia="仿宋"/>
                <w:b/>
                <w:bCs/>
                <w:color w:val="0D0D0D"/>
                <w:spacing w:val="-10"/>
                <w:sz w:val="28"/>
                <w:szCs w:val="28"/>
              </w:rPr>
              <w:t>（7）产品授权书</w:t>
            </w:r>
          </w:p>
          <w:p>
            <w:pPr>
              <w:pStyle w:val="8"/>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spacing w:val="-16"/>
                <w:sz w:val="28"/>
                <w:szCs w:val="28"/>
              </w:rPr>
              <w:t xml:space="preserve">2023年  </w:t>
            </w:r>
            <w:r>
              <w:rPr>
                <w:rFonts w:hint="eastAsia" w:ascii="仿宋" w:hAnsi="仿宋" w:eastAsia="仿宋"/>
                <w:b/>
                <w:spacing w:val="-16"/>
                <w:sz w:val="28"/>
                <w:szCs w:val="28"/>
                <w:lang w:val="en-US" w:eastAsia="zh-CN"/>
              </w:rPr>
              <w:t xml:space="preserve">10 </w:t>
            </w:r>
            <w:r>
              <w:rPr>
                <w:rFonts w:hint="eastAsia" w:ascii="仿宋" w:hAnsi="仿宋" w:eastAsia="仿宋"/>
                <w:b/>
                <w:spacing w:val="-16"/>
                <w:sz w:val="28"/>
                <w:szCs w:val="28"/>
              </w:rPr>
              <w:t xml:space="preserve">月  </w:t>
            </w:r>
            <w:r>
              <w:rPr>
                <w:rFonts w:hint="eastAsia" w:ascii="仿宋" w:hAnsi="仿宋" w:eastAsia="仿宋"/>
                <w:b/>
                <w:spacing w:val="-16"/>
                <w:sz w:val="28"/>
                <w:szCs w:val="28"/>
                <w:lang w:val="en-US" w:eastAsia="zh-CN"/>
              </w:rPr>
              <w:t xml:space="preserve">17 </w:t>
            </w:r>
            <w:r>
              <w:rPr>
                <w:rFonts w:hint="eastAsia" w:ascii="仿宋" w:hAnsi="仿宋" w:eastAsia="仿宋"/>
                <w:b/>
                <w:bCs/>
                <w:spacing w:val="-16"/>
                <w:sz w:val="28"/>
                <w:szCs w:val="28"/>
              </w:rPr>
              <w:t>日</w:t>
            </w:r>
            <w:r>
              <w:rPr>
                <w:rFonts w:hint="eastAsia" w:ascii="仿宋" w:hAnsi="仿宋" w:eastAsia="仿宋"/>
                <w:b/>
                <w:bCs/>
                <w:spacing w:val="-16"/>
                <w:sz w:val="28"/>
                <w:szCs w:val="28"/>
                <w:lang w:val="en-US" w:eastAsia="zh-CN"/>
              </w:rPr>
              <w:t xml:space="preserve"> </w:t>
            </w:r>
            <w:r>
              <w:rPr>
                <w:rFonts w:hint="eastAsia" w:ascii="仿宋" w:hAnsi="仿宋" w:eastAsia="仿宋"/>
                <w:b/>
                <w:bCs/>
                <w:spacing w:val="-16"/>
                <w:sz w:val="28"/>
                <w:szCs w:val="28"/>
              </w:rPr>
              <w:t>1</w:t>
            </w:r>
            <w:r>
              <w:rPr>
                <w:rFonts w:hint="eastAsia" w:ascii="仿宋" w:hAnsi="仿宋" w:eastAsia="仿宋"/>
                <w:b/>
                <w:bCs/>
                <w:spacing w:val="-16"/>
                <w:sz w:val="28"/>
                <w:szCs w:val="28"/>
                <w:lang w:val="en-US" w:eastAsia="zh-CN"/>
              </w:rPr>
              <w:t>0</w:t>
            </w:r>
            <w:r>
              <w:rPr>
                <w:rFonts w:hint="eastAsia" w:ascii="仿宋" w:hAnsi="仿宋" w:eastAsia="仿宋"/>
                <w:b/>
                <w:bCs/>
                <w:spacing w:val="-16"/>
                <w:sz w:val="28"/>
                <w:szCs w:val="28"/>
              </w:rPr>
              <w:t xml:space="preserve"> </w:t>
            </w:r>
            <w:r>
              <w:rPr>
                <w:rFonts w:hint="eastAsia" w:ascii="仿宋" w:hAnsi="仿宋" w:eastAsia="仿宋"/>
                <w:b/>
                <w:spacing w:val="-16"/>
                <w:sz w:val="28"/>
                <w:szCs w:val="28"/>
              </w:rPr>
              <w:t>时 00分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spacing w:val="-16"/>
                <w:sz w:val="28"/>
                <w:szCs w:val="28"/>
              </w:rPr>
            </w:pPr>
            <w:r>
              <w:rPr>
                <w:rFonts w:hint="eastAsia" w:ascii="仿宋" w:hAnsi="仿宋" w:eastAsia="仿宋"/>
                <w:spacing w:val="-16"/>
                <w:sz w:val="28"/>
                <w:szCs w:val="28"/>
              </w:rPr>
              <w:t>收标书、开标地点：邳州市城建综合商务中心三楼中（综合会议室）</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s="宋体"/>
                <w:spacing w:val="-10"/>
                <w:kern w:val="0"/>
                <w:sz w:val="24"/>
              </w:rPr>
              <w:t>注：邳州市珠江路与泰州路交汇处（微信位置搜索：邳州市城建综合商务中心）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2.竞争性谈判公开唱价(第一次报价)。</w:t>
            </w:r>
          </w:p>
          <w:p>
            <w:pPr>
              <w:spacing w:line="360" w:lineRule="exact"/>
              <w:ind w:left="280" w:hanging="280" w:hangingChars="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3.参加谈判的投标申请人在规定时间内提交最后报价（第二次报价小于或等于第一次报价）；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4、评标、定</w:t>
            </w:r>
            <w:r>
              <w:rPr>
                <w:rFonts w:hint="eastAsia" w:ascii="仿宋" w:hAnsi="仿宋" w:eastAsia="仿宋"/>
                <w:sz w:val="28"/>
                <w:szCs w:val="28"/>
              </w:rPr>
              <w:t>评办法：仅以价格为评标因素、采用两轮报价(第二轮报价必须小于或等于第一轮报价)最低价的投标企业作为第一中标候选人（低于企业成本、高于招标控制价除外）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服务费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1.按照中标通知书确定的中标总金额，向中标人收取招标服务费。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w w:val="90"/>
                <w:kern w:val="0"/>
                <w:sz w:val="28"/>
                <w:szCs w:val="28"/>
                <w14:textFill>
                  <w14:solidFill>
                    <w14:schemeClr w14:val="tx1"/>
                  </w14:solidFill>
                </w14:textFill>
              </w:rPr>
              <w:t>中标人应在本公司发出中标通知书</w:t>
            </w:r>
            <w:r>
              <w:rPr>
                <w:rFonts w:hint="eastAsia" w:ascii="仿宋" w:hAnsi="仿宋" w:eastAsia="仿宋"/>
                <w:b/>
                <w:color w:val="000000" w:themeColor="text1"/>
                <w:w w:val="90"/>
                <w:kern w:val="0"/>
                <w:sz w:val="28"/>
                <w:szCs w:val="28"/>
                <w14:textFill>
                  <w14:solidFill>
                    <w14:schemeClr w14:val="tx1"/>
                  </w14:solidFill>
                </w14:textFill>
              </w:rPr>
              <w:t>前</w:t>
            </w:r>
            <w:r>
              <w:rPr>
                <w:rFonts w:hint="eastAsia" w:ascii="仿宋" w:hAnsi="仿宋" w:eastAsia="仿宋"/>
                <w:color w:val="000000" w:themeColor="text1"/>
                <w:w w:val="90"/>
                <w:kern w:val="0"/>
                <w:sz w:val="28"/>
                <w:szCs w:val="28"/>
                <w14:textFill>
                  <w14:solidFill>
                    <w14:schemeClr w14:val="tx1"/>
                  </w14:solidFill>
                </w14:textFill>
              </w:rPr>
              <w:t>向本招标代理公司支付招标服务费。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3.招标服务费只收现金、银行票汇款、电汇款。</w:t>
            </w:r>
          </w:p>
          <w:p>
            <w:pPr>
              <w:pStyle w:val="30"/>
              <w:ind w:firstLine="0" w:firstLineChars="0"/>
              <w:rPr>
                <w:rFonts w:eastAsia="仿宋"/>
              </w:rPr>
            </w:pPr>
            <w:r>
              <w:rPr>
                <w:rFonts w:hint="eastAsia" w:ascii="仿宋" w:hAnsi="仿宋" w:eastAsia="仿宋"/>
                <w:color w:val="000000" w:themeColor="text1"/>
                <w:kern w:val="0"/>
                <w:sz w:val="28"/>
                <w:szCs w:val="28"/>
                <w14:textFill>
                  <w14:solidFill>
                    <w14:schemeClr w14:val="tx1"/>
                  </w14:solidFill>
                </w14:textFill>
              </w:rPr>
              <w:t>4.评委专家评审费由中标人承担支付。</w:t>
            </w:r>
          </w:p>
          <w:p>
            <w:pPr>
              <w:spacing w:line="360" w:lineRule="exact"/>
              <w:rPr>
                <w:rFonts w:ascii="仿宋" w:hAnsi="仿宋" w:eastAsia="仿宋"/>
                <w:color w:val="FF0000"/>
                <w:kern w:val="0"/>
                <w:sz w:val="28"/>
                <w:szCs w:val="28"/>
              </w:rPr>
            </w:pPr>
            <w:r>
              <w:rPr>
                <w:rFonts w:hint="eastAsia" w:ascii="仿宋" w:hAnsi="仿宋" w:eastAsia="仿宋"/>
                <w:kern w:val="0"/>
                <w:sz w:val="28"/>
                <w:szCs w:val="28"/>
              </w:rPr>
              <w:t>5.工程款支付：</w:t>
            </w:r>
            <w:r>
              <w:rPr>
                <w:rFonts w:hint="eastAsia" w:ascii="仿宋" w:hAnsi="仿宋" w:eastAsia="仿宋" w:cs="仿宋"/>
                <w:b/>
                <w:sz w:val="28"/>
                <w:szCs w:val="28"/>
              </w:rPr>
              <w:t>全部安装结束并经验收合格后，付至合同价款的80%；工程量经核算部审核结束后付至结算价款的97%，结算总价款的3%为质保金，质保期1年。</w:t>
            </w:r>
            <w:r>
              <w:rPr>
                <w:rFonts w:hint="eastAsia" w:ascii="仿宋" w:hAnsi="仿宋" w:eastAsia="仿宋" w:cs="仿宋"/>
                <w:sz w:val="28"/>
                <w:szCs w:val="28"/>
              </w:rPr>
              <w:t>质保期满无任何质量问题后三个月内无息付清剩余尾款。</w:t>
            </w:r>
            <w:r>
              <w:rPr>
                <w:rFonts w:hint="eastAsia" w:ascii="仿宋" w:hAnsi="仿宋" w:eastAsia="仿宋"/>
                <w:b/>
                <w:kern w:val="0"/>
                <w:sz w:val="28"/>
                <w:szCs w:val="28"/>
              </w:rPr>
              <w:t>注：</w:t>
            </w:r>
            <w:r>
              <w:rPr>
                <w:rFonts w:hint="eastAsia" w:ascii="仿宋" w:hAnsi="仿宋" w:eastAsia="仿宋"/>
                <w:b/>
                <w:kern w:val="0"/>
                <w:sz w:val="28"/>
                <w:szCs w:val="28"/>
                <w:lang w:eastAsia="zh-CN"/>
              </w:rPr>
              <w:t>电梯费</w:t>
            </w:r>
            <w:r>
              <w:rPr>
                <w:rFonts w:hint="eastAsia" w:ascii="仿宋" w:hAnsi="仿宋" w:eastAsia="仿宋"/>
                <w:b/>
                <w:kern w:val="0"/>
                <w:sz w:val="28"/>
                <w:szCs w:val="28"/>
              </w:rPr>
              <w:t>由承包人开具13%增值税专用发票，</w:t>
            </w:r>
            <w:r>
              <w:rPr>
                <w:rFonts w:hint="eastAsia" w:ascii="仿宋" w:hAnsi="仿宋" w:eastAsia="仿宋"/>
                <w:b/>
                <w:kern w:val="0"/>
                <w:sz w:val="28"/>
                <w:szCs w:val="28"/>
                <w:lang w:eastAsia="zh-CN"/>
              </w:rPr>
              <w:t>安装费</w:t>
            </w:r>
            <w:r>
              <w:rPr>
                <w:rFonts w:hint="eastAsia" w:ascii="仿宋" w:hAnsi="仿宋" w:eastAsia="仿宋"/>
                <w:b/>
                <w:kern w:val="0"/>
                <w:sz w:val="28"/>
                <w:szCs w:val="28"/>
              </w:rPr>
              <w:t>由承包人开具</w:t>
            </w:r>
            <w:r>
              <w:rPr>
                <w:rFonts w:hint="eastAsia" w:ascii="仿宋" w:hAnsi="仿宋" w:eastAsia="仿宋"/>
                <w:b/>
                <w:kern w:val="0"/>
                <w:sz w:val="28"/>
                <w:szCs w:val="28"/>
                <w:lang w:val="en-US" w:eastAsia="zh-CN"/>
              </w:rPr>
              <w:t>6</w:t>
            </w:r>
            <w:r>
              <w:rPr>
                <w:rFonts w:hint="eastAsia" w:ascii="仿宋" w:hAnsi="仿宋" w:eastAsia="仿宋"/>
                <w:b/>
                <w:kern w:val="0"/>
                <w:sz w:val="28"/>
                <w:szCs w:val="28"/>
              </w:rPr>
              <w:t>%增值税专用发票</w:t>
            </w:r>
            <w:r>
              <w:rPr>
                <w:rFonts w:hint="eastAsia" w:ascii="仿宋" w:hAnsi="仿宋" w:eastAsia="仿宋"/>
                <w:b/>
                <w:kern w:val="0"/>
                <w:sz w:val="28"/>
                <w:szCs w:val="28"/>
                <w:lang w:eastAsia="zh-CN"/>
              </w:rPr>
              <w:t>，</w:t>
            </w:r>
            <w:r>
              <w:rPr>
                <w:rFonts w:hint="eastAsia" w:ascii="仿宋" w:hAnsi="仿宋" w:eastAsia="仿宋"/>
                <w:b/>
                <w:kern w:val="0"/>
                <w:sz w:val="28"/>
                <w:szCs w:val="28"/>
              </w:rPr>
              <w:t>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 xml:space="preserve">投标人对本文件（全册）有异议或需要澄清，必须以书面形式于规定时间内报送招标人。投标人当以书面形式于2023年 </w:t>
      </w:r>
      <w:r>
        <w:rPr>
          <w:rFonts w:hint="eastAsia" w:ascii="仿宋" w:hAnsi="仿宋" w:eastAsia="仿宋"/>
          <w:sz w:val="28"/>
          <w:szCs w:val="28"/>
          <w:lang w:val="en-US" w:eastAsia="zh-CN"/>
        </w:rPr>
        <w:t>10</w:t>
      </w:r>
      <w:r>
        <w:rPr>
          <w:rFonts w:hint="eastAsia" w:ascii="仿宋" w:hAnsi="仿宋" w:eastAsia="仿宋"/>
          <w:sz w:val="28"/>
          <w:szCs w:val="28"/>
        </w:rPr>
        <w:t xml:space="preserve"> 月  </w:t>
      </w:r>
      <w:r>
        <w:rPr>
          <w:rFonts w:hint="eastAsia" w:ascii="仿宋" w:hAnsi="仿宋" w:eastAsia="仿宋"/>
          <w:sz w:val="28"/>
          <w:szCs w:val="28"/>
          <w:lang w:val="en-US" w:eastAsia="zh-CN"/>
        </w:rPr>
        <w:t>14</w:t>
      </w:r>
      <w:r>
        <w:rPr>
          <w:rFonts w:hint="eastAsia" w:ascii="仿宋" w:hAnsi="仿宋" w:eastAsia="仿宋"/>
          <w:sz w:val="28"/>
          <w:szCs w:val="28"/>
        </w:rPr>
        <w:t xml:space="preserve">  日17时之前报送招标人。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30"/>
        <w:ind w:firstLine="0" w:firstLineChars="0"/>
      </w:pPr>
    </w:p>
    <w:p>
      <w:pPr>
        <w:pStyle w:val="30"/>
        <w:ind w:firstLine="0" w:firstLineChars="0"/>
      </w:pPr>
    </w:p>
    <w:p>
      <w:pPr>
        <w:pStyle w:val="30"/>
        <w:ind w:firstLine="0" w:firstLineChars="0"/>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3、品牌检测报告</w:t>
      </w:r>
    </w:p>
    <w:p>
      <w:pPr>
        <w:pStyle w:val="30"/>
        <w:ind w:firstLine="300" w:firstLineChars="100"/>
        <w:rPr>
          <w:rFonts w:ascii="仿宋" w:hAnsi="仿宋" w:eastAsia="仿宋"/>
          <w:color w:val="0D0D0D"/>
          <w:spacing w:val="-10"/>
          <w:sz w:val="32"/>
          <w:szCs w:val="32"/>
        </w:rPr>
      </w:pPr>
      <w:r>
        <w:rPr>
          <w:rFonts w:hint="eastAsia" w:ascii="仿宋" w:hAnsi="仿宋" w:eastAsia="仿宋"/>
          <w:bCs/>
          <w:color w:val="0D0D0D"/>
          <w:spacing w:val="-10"/>
          <w:sz w:val="32"/>
          <w:szCs w:val="32"/>
        </w:rPr>
        <w:t>4、</w:t>
      </w:r>
      <w:r>
        <w:rPr>
          <w:rFonts w:hint="eastAsia" w:ascii="仿宋" w:hAnsi="仿宋" w:eastAsia="仿宋"/>
          <w:color w:val="0D0D0D"/>
          <w:spacing w:val="-10"/>
          <w:sz w:val="32"/>
          <w:szCs w:val="32"/>
        </w:rPr>
        <w:t>产品授权书</w:t>
      </w:r>
    </w:p>
    <w:p>
      <w:pPr>
        <w:pStyle w:val="30"/>
        <w:ind w:firstLine="300" w:firstLineChars="100"/>
        <w:rPr>
          <w:rFonts w:ascii="仿宋" w:hAnsi="仿宋" w:eastAsia="仿宋"/>
          <w:color w:val="0D0D0D"/>
          <w:spacing w:val="-10"/>
          <w:sz w:val="32"/>
          <w:szCs w:val="32"/>
        </w:rPr>
      </w:pPr>
    </w:p>
    <w:p>
      <w:pPr>
        <w:pStyle w:val="8"/>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0"/>
        <w:ind w:firstLine="0" w:firstLineChars="0"/>
      </w:pPr>
    </w:p>
    <w:p>
      <w:pPr>
        <w:pStyle w:val="3"/>
        <w:widowControl/>
        <w:shd w:val="clear" w:color="auto" w:fill="FFFFFF"/>
        <w:spacing w:beforeAutospacing="0" w:after="210" w:afterAutospacing="0" w:line="21" w:lineRule="atLeast"/>
        <w:ind w:left="3213" w:hanging="3213" w:hangingChars="1000"/>
        <w:rPr>
          <w:rFonts w:hint="default" w:ascii="仿宋" w:hAnsi="仿宋" w:eastAsia="仿宋" w:cs="仿宋"/>
          <w:sz w:val="44"/>
          <w:szCs w:val="44"/>
        </w:rPr>
      </w:pPr>
      <w:r>
        <w:rPr>
          <w:rFonts w:ascii="仿宋" w:hAnsi="仿宋" w:eastAsia="仿宋"/>
          <w:sz w:val="32"/>
        </w:rPr>
        <w:t>附件2</w:t>
      </w:r>
    </w:p>
    <w:p>
      <w:pPr>
        <w:pStyle w:val="3"/>
        <w:widowControl/>
        <w:shd w:val="clear" w:color="auto" w:fill="FFFFFF"/>
        <w:spacing w:beforeAutospacing="0" w:after="210" w:afterAutospacing="0" w:line="21" w:lineRule="atLeast"/>
        <w:ind w:left="4387" w:leftChars="1294" w:hanging="1670" w:hangingChars="400"/>
        <w:rPr>
          <w:rFonts w:hint="default" w:ascii="仿宋" w:hAnsi="仿宋" w:eastAsia="仿宋" w:cs="仿宋"/>
          <w:color w:val="222222"/>
          <w:spacing w:val="8"/>
          <w:sz w:val="40"/>
          <w:szCs w:val="40"/>
          <w:shd w:val="clear" w:color="auto" w:fill="FFFFFF"/>
        </w:rPr>
      </w:pPr>
      <w:r>
        <w:rPr>
          <w:rFonts w:ascii="仿宋" w:hAnsi="仿宋" w:eastAsia="仿宋" w:cs="仿宋"/>
          <w:color w:val="222222"/>
          <w:spacing w:val="8"/>
          <w:sz w:val="40"/>
          <w:szCs w:val="40"/>
          <w:shd w:val="clear" w:color="auto" w:fill="FFFFFF"/>
        </w:rPr>
        <w:t>招标清单参数要求</w:t>
      </w:r>
    </w:p>
    <w:p>
      <w:pPr>
        <w:pStyle w:val="30"/>
        <w:ind w:firstLine="640"/>
        <w:rPr>
          <w:rFonts w:hint="eastAsia" w:ascii="仿宋" w:hAnsi="仿宋" w:eastAsia="仿宋"/>
          <w:bCs/>
          <w:sz w:val="32"/>
          <w:lang w:val="en-US" w:eastAsia="zh-CN"/>
        </w:rPr>
      </w:pPr>
      <w:r>
        <w:rPr>
          <w:rFonts w:hint="eastAsia" w:ascii="仿宋" w:hAnsi="仿宋" w:eastAsia="仿宋"/>
          <w:bCs/>
          <w:sz w:val="32"/>
          <w:lang w:val="en-US" w:eastAsia="zh-CN"/>
        </w:rPr>
        <w:t>相关参数按设计图纸要求。</w:t>
      </w:r>
    </w:p>
    <w:p>
      <w:pPr>
        <w:pStyle w:val="30"/>
        <w:ind w:firstLine="640"/>
        <w:rPr>
          <w:rFonts w:hint="eastAsia" w:ascii="仿宋" w:hAnsi="仿宋" w:eastAsia="仿宋"/>
          <w:bCs/>
          <w:sz w:val="32"/>
          <w:lang w:val="en-US" w:eastAsia="zh-CN"/>
        </w:rPr>
      </w:pPr>
      <w:r>
        <w:rPr>
          <w:rFonts w:hint="eastAsia" w:ascii="仿宋" w:hAnsi="仿宋" w:eastAsia="仿宋"/>
          <w:bCs/>
          <w:sz w:val="32"/>
          <w:lang w:val="en-US" w:eastAsia="zh-CN"/>
        </w:rPr>
        <w:t>推荐品牌如下：</w:t>
      </w:r>
    </w:p>
    <w:p>
      <w:pPr>
        <w:pStyle w:val="30"/>
        <w:ind w:firstLine="640"/>
        <w:rPr>
          <w:rFonts w:hint="default" w:ascii="仿宋" w:hAnsi="仿宋" w:eastAsia="仿宋"/>
          <w:bCs/>
          <w:sz w:val="32"/>
          <w:lang w:val="en-US" w:eastAsia="zh-CN"/>
        </w:rPr>
      </w:pPr>
      <w:r>
        <w:rPr>
          <w:rFonts w:hint="eastAsia" w:ascii="仿宋" w:hAnsi="仿宋" w:eastAsia="仿宋"/>
          <w:bCs/>
          <w:sz w:val="32"/>
          <w:lang w:val="en-US" w:eastAsia="zh-CN"/>
        </w:rPr>
        <w:t>通力、迅达、日立、奥的斯、东芝</w:t>
      </w:r>
    </w:p>
    <w:p>
      <w:pPr>
        <w:pStyle w:val="30"/>
        <w:ind w:firstLine="640"/>
        <w:rPr>
          <w:rFonts w:ascii="仿宋" w:hAnsi="仿宋" w:eastAsia="仿宋"/>
          <w:bCs/>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0" w:firstLineChars="0"/>
        <w:rPr>
          <w:rFonts w:ascii="仿宋" w:hAnsi="仿宋" w:eastAsia="仿宋"/>
          <w:b/>
          <w:sz w:val="32"/>
        </w:rPr>
      </w:pPr>
    </w:p>
    <w:p>
      <w:pPr>
        <w:pStyle w:val="30"/>
        <w:ind w:firstLine="0" w:firstLineChars="0"/>
        <w:rPr>
          <w:rFonts w:ascii="仿宋" w:hAnsi="仿宋" w:eastAsia="仿宋"/>
          <w:b/>
          <w:sz w:val="32"/>
        </w:rPr>
      </w:pPr>
    </w:p>
    <w:p>
      <w:pPr>
        <w:pStyle w:val="30"/>
        <w:ind w:firstLine="0" w:firstLineChars="0"/>
        <w:rPr>
          <w:rFonts w:hint="eastAsia" w:ascii="仿宋" w:hAnsi="仿宋" w:eastAsia="仿宋"/>
          <w:b/>
          <w:sz w:val="32"/>
        </w:rPr>
      </w:pPr>
    </w:p>
    <w:p>
      <w:pPr>
        <w:pStyle w:val="30"/>
        <w:ind w:firstLine="0" w:firstLineChars="0"/>
        <w:rPr>
          <w:rFonts w:ascii="仿宋" w:hAnsi="仿宋" w:eastAsia="仿宋"/>
          <w:b/>
          <w:sz w:val="32"/>
        </w:rPr>
      </w:pPr>
      <w:r>
        <w:rPr>
          <w:rFonts w:hint="eastAsia" w:ascii="仿宋" w:hAnsi="仿宋" w:eastAsia="仿宋"/>
          <w:b/>
          <w:sz w:val="32"/>
        </w:rPr>
        <w:t>附件3</w:t>
      </w:r>
    </w:p>
    <w:p>
      <w:pPr>
        <w:pStyle w:val="30"/>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1407"/>
        <w:gridCol w:w="1914"/>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仿宋" w:hAnsi="仿宋" w:eastAsia="仿宋" w:cs="仿宋"/>
                <w:b/>
                <w:sz w:val="24"/>
              </w:rPr>
            </w:pPr>
            <w:r>
              <w:rPr>
                <w:rFonts w:hint="eastAsia" w:ascii="仿宋" w:hAnsi="仿宋" w:eastAsia="仿宋" w:cs="仿宋"/>
                <w:b/>
                <w:sz w:val="24"/>
              </w:rPr>
              <w:t>产品名称</w:t>
            </w:r>
          </w:p>
        </w:tc>
        <w:tc>
          <w:tcPr>
            <w:tcW w:w="1407" w:type="dxa"/>
          </w:tcPr>
          <w:p>
            <w:pPr>
              <w:jc w:val="center"/>
              <w:rPr>
                <w:rFonts w:ascii="仿宋" w:hAnsi="仿宋" w:eastAsia="仿宋" w:cs="仿宋"/>
                <w:b/>
                <w:sz w:val="24"/>
              </w:rPr>
            </w:pPr>
            <w:r>
              <w:rPr>
                <w:rFonts w:hint="eastAsia" w:ascii="仿宋" w:hAnsi="仿宋" w:eastAsia="仿宋" w:cs="仿宋"/>
                <w:b/>
                <w:sz w:val="24"/>
              </w:rPr>
              <w:t>单位</w:t>
            </w:r>
          </w:p>
        </w:tc>
        <w:tc>
          <w:tcPr>
            <w:tcW w:w="1914" w:type="dxa"/>
          </w:tcPr>
          <w:p>
            <w:pPr>
              <w:jc w:val="center"/>
              <w:rPr>
                <w:rFonts w:ascii="仿宋" w:hAnsi="仿宋" w:eastAsia="仿宋" w:cs="仿宋"/>
                <w:b/>
                <w:sz w:val="24"/>
              </w:rPr>
            </w:pPr>
            <w:r>
              <w:rPr>
                <w:rFonts w:hint="eastAsia" w:ascii="仿宋" w:hAnsi="仿宋" w:eastAsia="仿宋" w:cs="仿宋"/>
                <w:b/>
                <w:sz w:val="24"/>
              </w:rPr>
              <w:t>数量</w:t>
            </w:r>
          </w:p>
        </w:tc>
        <w:tc>
          <w:tcPr>
            <w:tcW w:w="1915" w:type="dxa"/>
          </w:tcPr>
          <w:p>
            <w:pPr>
              <w:jc w:val="center"/>
              <w:rPr>
                <w:rFonts w:hint="eastAsia" w:ascii="仿宋" w:hAnsi="仿宋" w:eastAsia="仿宋" w:cs="仿宋"/>
                <w:b/>
                <w:sz w:val="24"/>
                <w:lang w:eastAsia="zh-CN"/>
              </w:rPr>
            </w:pPr>
            <w:r>
              <w:rPr>
                <w:rFonts w:hint="eastAsia" w:ascii="仿宋" w:hAnsi="仿宋" w:eastAsia="仿宋" w:cs="仿宋"/>
                <w:b/>
                <w:sz w:val="24"/>
              </w:rPr>
              <w:t>控制价/元/</w:t>
            </w:r>
            <w:r>
              <w:rPr>
                <w:rFonts w:hint="eastAsia" w:ascii="仿宋" w:hAnsi="仿宋" w:eastAsia="仿宋" w:cs="仿宋"/>
                <w:b/>
                <w:sz w:val="24"/>
                <w:lang w:eastAsia="zh-CN"/>
              </w:rPr>
              <w:t>套</w:t>
            </w:r>
          </w:p>
        </w:tc>
        <w:tc>
          <w:tcPr>
            <w:tcW w:w="1915" w:type="dxa"/>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eastAsia" w:ascii="仿宋" w:hAnsi="仿宋" w:eastAsia="仿宋" w:cs="仿宋"/>
                <w:bCs/>
                <w:sz w:val="24"/>
                <w:lang w:eastAsia="zh-CN"/>
              </w:rPr>
            </w:pPr>
            <w:r>
              <w:rPr>
                <w:rFonts w:hint="eastAsia" w:ascii="仿宋" w:hAnsi="仿宋" w:eastAsia="仿宋" w:cs="仿宋"/>
                <w:bCs/>
                <w:sz w:val="24"/>
                <w:lang w:eastAsia="zh-CN"/>
              </w:rPr>
              <w:t>电梯</w:t>
            </w:r>
          </w:p>
        </w:tc>
        <w:tc>
          <w:tcPr>
            <w:tcW w:w="1407" w:type="dxa"/>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套</w:t>
            </w:r>
          </w:p>
        </w:tc>
        <w:tc>
          <w:tcPr>
            <w:tcW w:w="1914" w:type="dxa"/>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w:t>
            </w:r>
          </w:p>
        </w:tc>
        <w:tc>
          <w:tcPr>
            <w:tcW w:w="1915" w:type="dxa"/>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200000</w:t>
            </w:r>
          </w:p>
        </w:tc>
        <w:tc>
          <w:tcPr>
            <w:tcW w:w="1915" w:type="dxa"/>
          </w:tcPr>
          <w:p>
            <w:pPr>
              <w:jc w:val="center"/>
              <w:rPr>
                <w:rFonts w:hint="eastAsia" w:ascii="仿宋" w:hAnsi="仿宋" w:eastAsia="仿宋" w:cs="仿宋"/>
                <w:bCs/>
                <w:sz w:val="24"/>
                <w:lang w:eastAsia="zh-CN"/>
              </w:rPr>
            </w:pPr>
            <w:r>
              <w:rPr>
                <w:rFonts w:hint="eastAsia" w:ascii="仿宋" w:hAnsi="仿宋" w:eastAsia="仿宋" w:cs="仿宋"/>
                <w:bCs/>
                <w:sz w:val="24"/>
                <w:lang w:eastAsia="zh-CN"/>
              </w:rPr>
              <w:t>详细参数见图纸</w:t>
            </w:r>
          </w:p>
        </w:tc>
      </w:tr>
    </w:tbl>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jc w:val="left"/>
        <w:rPr>
          <w:rFonts w:ascii="仿宋" w:hAnsi="仿宋" w:eastAsia="仿宋"/>
          <w:b/>
          <w:sz w:val="28"/>
          <w:szCs w:val="28"/>
        </w:rPr>
      </w:pPr>
    </w:p>
    <w:p>
      <w:pPr>
        <w:jc w:val="left"/>
        <w:rPr>
          <w:rFonts w:hint="eastAsia"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人（盖章）：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法定代表人（盖章）：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格式3：</w:t>
      </w:r>
    </w:p>
    <w:p>
      <w:pPr>
        <w:ind w:firstLine="3614" w:firstLineChars="1000"/>
        <w:rPr>
          <w:rFonts w:ascii="仿宋" w:hAnsi="仿宋" w:eastAsia="仿宋"/>
          <w:b/>
          <w:sz w:val="36"/>
          <w:szCs w:val="36"/>
        </w:rPr>
      </w:pPr>
      <w:r>
        <w:rPr>
          <w:rFonts w:hint="eastAsia" w:ascii="仿宋" w:hAnsi="仿宋" w:eastAsia="仿宋"/>
          <w:b/>
          <w:sz w:val="36"/>
          <w:szCs w:val="36"/>
        </w:rPr>
        <w:t>二次报价函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年   月    日</w:t>
      </w:r>
    </w:p>
    <w:p>
      <w:pPr>
        <w:rPr>
          <w:rFonts w:ascii="仿宋" w:hAnsi="仿宋" w:eastAsia="仿宋"/>
          <w:b/>
          <w:sz w:val="32"/>
        </w:rPr>
      </w:pPr>
    </w:p>
    <w:p>
      <w:pPr>
        <w:rPr>
          <w:rFonts w:ascii="仿宋" w:hAnsi="仿宋" w:eastAsia="仿宋"/>
          <w:b/>
          <w:sz w:val="32"/>
        </w:rPr>
      </w:pPr>
      <w:r>
        <w:rPr>
          <w:rFonts w:hint="eastAsia" w:ascii="仿宋" w:hAnsi="仿宋" w:eastAsia="仿宋"/>
          <w:b/>
          <w:sz w:val="32"/>
        </w:rPr>
        <w:t>注：此项仅盖法人印章及法定代表人印章，由法定代表人或授权人现场二次报价使用。</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格式4：</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投标人（盖章）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法定代表人（盖章）</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9112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629F0"/>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960B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A7C55"/>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63E63"/>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0D03"/>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4CC56BA"/>
    <w:rsid w:val="06710E08"/>
    <w:rsid w:val="06DE7EAB"/>
    <w:rsid w:val="07A174CB"/>
    <w:rsid w:val="088C1F29"/>
    <w:rsid w:val="08B51480"/>
    <w:rsid w:val="08E302B1"/>
    <w:rsid w:val="09157676"/>
    <w:rsid w:val="0A09506F"/>
    <w:rsid w:val="0B770C6E"/>
    <w:rsid w:val="0C070AE5"/>
    <w:rsid w:val="0C45799C"/>
    <w:rsid w:val="0DF77E44"/>
    <w:rsid w:val="0E0A54C0"/>
    <w:rsid w:val="0EC64013"/>
    <w:rsid w:val="0ED45FE6"/>
    <w:rsid w:val="0F2779DF"/>
    <w:rsid w:val="10AD63FE"/>
    <w:rsid w:val="13201BEB"/>
    <w:rsid w:val="138806E4"/>
    <w:rsid w:val="14E304DF"/>
    <w:rsid w:val="14E53B8B"/>
    <w:rsid w:val="16CD62E0"/>
    <w:rsid w:val="18000EDC"/>
    <w:rsid w:val="183C011D"/>
    <w:rsid w:val="18CF798A"/>
    <w:rsid w:val="19212AA1"/>
    <w:rsid w:val="1C024264"/>
    <w:rsid w:val="1C352CC8"/>
    <w:rsid w:val="1E984D2C"/>
    <w:rsid w:val="1F8511B9"/>
    <w:rsid w:val="203873AA"/>
    <w:rsid w:val="20D858B3"/>
    <w:rsid w:val="210B22B9"/>
    <w:rsid w:val="212C0EDD"/>
    <w:rsid w:val="2176410F"/>
    <w:rsid w:val="21BA76AF"/>
    <w:rsid w:val="223D6D79"/>
    <w:rsid w:val="225125D0"/>
    <w:rsid w:val="22C04851"/>
    <w:rsid w:val="22C419A9"/>
    <w:rsid w:val="250A6168"/>
    <w:rsid w:val="256A5188"/>
    <w:rsid w:val="266B6072"/>
    <w:rsid w:val="26914E82"/>
    <w:rsid w:val="26BC1A04"/>
    <w:rsid w:val="272C6959"/>
    <w:rsid w:val="274D43FF"/>
    <w:rsid w:val="283A5ADD"/>
    <w:rsid w:val="29B82726"/>
    <w:rsid w:val="2A34253A"/>
    <w:rsid w:val="2A8D770F"/>
    <w:rsid w:val="2C2D51EE"/>
    <w:rsid w:val="2C34445E"/>
    <w:rsid w:val="2CC6574E"/>
    <w:rsid w:val="2DA64823"/>
    <w:rsid w:val="303C2832"/>
    <w:rsid w:val="30B424D7"/>
    <w:rsid w:val="315533BC"/>
    <w:rsid w:val="32733EFD"/>
    <w:rsid w:val="330412B5"/>
    <w:rsid w:val="34014CC9"/>
    <w:rsid w:val="35024C3B"/>
    <w:rsid w:val="36861FB0"/>
    <w:rsid w:val="371F50E7"/>
    <w:rsid w:val="37C878EF"/>
    <w:rsid w:val="3845787B"/>
    <w:rsid w:val="3850408F"/>
    <w:rsid w:val="38F71EC2"/>
    <w:rsid w:val="3947398A"/>
    <w:rsid w:val="39FC7BE4"/>
    <w:rsid w:val="3A3664F0"/>
    <w:rsid w:val="3A3D2122"/>
    <w:rsid w:val="3D8D57D9"/>
    <w:rsid w:val="3E706986"/>
    <w:rsid w:val="3EF1250A"/>
    <w:rsid w:val="3FB84DD6"/>
    <w:rsid w:val="40086A46"/>
    <w:rsid w:val="40416B7A"/>
    <w:rsid w:val="40B7508E"/>
    <w:rsid w:val="41687451"/>
    <w:rsid w:val="41D46082"/>
    <w:rsid w:val="4202058A"/>
    <w:rsid w:val="43867025"/>
    <w:rsid w:val="43FB3FA2"/>
    <w:rsid w:val="44A55342"/>
    <w:rsid w:val="45C65937"/>
    <w:rsid w:val="45F428E0"/>
    <w:rsid w:val="462705C0"/>
    <w:rsid w:val="46D66CB5"/>
    <w:rsid w:val="47A45D05"/>
    <w:rsid w:val="48BB7B71"/>
    <w:rsid w:val="490208FF"/>
    <w:rsid w:val="4AF52F0E"/>
    <w:rsid w:val="4BD76958"/>
    <w:rsid w:val="4D5201D7"/>
    <w:rsid w:val="4D907BC8"/>
    <w:rsid w:val="4E352CD8"/>
    <w:rsid w:val="4EAB2916"/>
    <w:rsid w:val="50502A35"/>
    <w:rsid w:val="50597F0F"/>
    <w:rsid w:val="505B0D57"/>
    <w:rsid w:val="5060001E"/>
    <w:rsid w:val="55E335AD"/>
    <w:rsid w:val="564A004F"/>
    <w:rsid w:val="5653342B"/>
    <w:rsid w:val="56A12CA8"/>
    <w:rsid w:val="570B533B"/>
    <w:rsid w:val="571406EC"/>
    <w:rsid w:val="596D2CD3"/>
    <w:rsid w:val="5B1D1191"/>
    <w:rsid w:val="5B4D6FDC"/>
    <w:rsid w:val="5B6048D1"/>
    <w:rsid w:val="5C6118EE"/>
    <w:rsid w:val="5ED94EE3"/>
    <w:rsid w:val="5F6E5059"/>
    <w:rsid w:val="625A0596"/>
    <w:rsid w:val="62637997"/>
    <w:rsid w:val="63B17DE7"/>
    <w:rsid w:val="64F16900"/>
    <w:rsid w:val="650F0BF5"/>
    <w:rsid w:val="652E1A9C"/>
    <w:rsid w:val="665B6701"/>
    <w:rsid w:val="670F34A7"/>
    <w:rsid w:val="68D75168"/>
    <w:rsid w:val="69494488"/>
    <w:rsid w:val="6C47632A"/>
    <w:rsid w:val="6D843EA5"/>
    <w:rsid w:val="6EAE5B57"/>
    <w:rsid w:val="710B7575"/>
    <w:rsid w:val="71961C18"/>
    <w:rsid w:val="71F77DC6"/>
    <w:rsid w:val="729B4A64"/>
    <w:rsid w:val="733436DC"/>
    <w:rsid w:val="739022A7"/>
    <w:rsid w:val="74C9009D"/>
    <w:rsid w:val="75DE22C4"/>
    <w:rsid w:val="75FD08F4"/>
    <w:rsid w:val="78F405D7"/>
    <w:rsid w:val="792320E9"/>
    <w:rsid w:val="79D22537"/>
    <w:rsid w:val="7ADB1A3F"/>
    <w:rsid w:val="7B494176"/>
    <w:rsid w:val="7BC620A1"/>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sz w:val="22"/>
      <w:szCs w:val="22"/>
    </w:rPr>
  </w:style>
  <w:style w:type="paragraph" w:styleId="7">
    <w:name w:val="Body Text"/>
    <w:basedOn w:val="1"/>
    <w:qFormat/>
    <w:uiPriority w:val="0"/>
    <w:rPr>
      <w:rFonts w:ascii="Verdana" w:hAnsi="Verdana"/>
      <w:sz w:val="24"/>
      <w:szCs w:val="18"/>
    </w:rPr>
  </w:style>
  <w:style w:type="paragraph" w:styleId="8">
    <w:name w:val="Plain Text"/>
    <w:basedOn w:val="1"/>
    <w:link w:val="41"/>
    <w:qFormat/>
    <w:uiPriority w:val="0"/>
    <w:rPr>
      <w:rFonts w:ascii="宋体" w:hAnsi="Courier New"/>
    </w:rPr>
  </w:style>
  <w:style w:type="paragraph" w:styleId="9">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4"/>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7"/>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首行缩进"/>
    <w:basedOn w:val="1"/>
    <w:qFormat/>
    <w:uiPriority w:val="0"/>
    <w:pPr>
      <w:spacing w:line="360" w:lineRule="auto"/>
      <w:ind w:firstLine="420" w:firstLineChars="200"/>
    </w:pPr>
  </w:style>
  <w:style w:type="character" w:customStyle="1" w:styleId="31">
    <w:name w:val="页脚 Char"/>
    <w:link w:val="9"/>
    <w:qFormat/>
    <w:uiPriority w:val="99"/>
    <w:rPr>
      <w:sz w:val="18"/>
    </w:rPr>
  </w:style>
  <w:style w:type="character" w:customStyle="1" w:styleId="32">
    <w:name w:val="页脚 Char1"/>
    <w:basedOn w:val="16"/>
    <w:qFormat/>
    <w:uiPriority w:val="99"/>
    <w:rPr>
      <w:rFonts w:ascii="Times New Roman" w:hAnsi="Times New Roman" w:eastAsia="宋体" w:cs="Times New Roman"/>
      <w:sz w:val="18"/>
      <w:szCs w:val="18"/>
    </w:rPr>
  </w:style>
  <w:style w:type="character" w:customStyle="1" w:styleId="33">
    <w:name w:val="页眉 Char"/>
    <w:basedOn w:val="16"/>
    <w:link w:val="10"/>
    <w:qFormat/>
    <w:uiPriority w:val="99"/>
    <w:rPr>
      <w:rFonts w:ascii="Times New Roman" w:hAnsi="Times New Roman" w:eastAsia="宋体" w:cs="Times New Roman"/>
      <w:sz w:val="18"/>
      <w:szCs w:val="18"/>
    </w:rPr>
  </w:style>
  <w:style w:type="character" w:customStyle="1" w:styleId="34">
    <w:name w:val="脚注文本 Char"/>
    <w:basedOn w:val="16"/>
    <w:link w:val="11"/>
    <w:qFormat/>
    <w:uiPriority w:val="99"/>
    <w:rPr>
      <w:rFonts w:ascii="Times New Roman" w:hAnsi="Times New Roman" w:eastAsia="宋体" w:cs="Times New Roman"/>
      <w:sz w:val="18"/>
      <w:szCs w:val="18"/>
    </w:rPr>
  </w:style>
  <w:style w:type="character" w:customStyle="1" w:styleId="35">
    <w:name w:val="书籍标题1"/>
    <w:basedOn w:val="16"/>
    <w:qFormat/>
    <w:uiPriority w:val="33"/>
    <w:rPr>
      <w:b/>
      <w:bCs/>
      <w:smallCaps/>
      <w:spacing w:val="5"/>
    </w:rPr>
  </w:style>
  <w:style w:type="character" w:customStyle="1" w:styleId="36">
    <w:name w:val="明显参考1"/>
    <w:basedOn w:val="16"/>
    <w:qFormat/>
    <w:uiPriority w:val="32"/>
    <w:rPr>
      <w:b/>
      <w:bCs/>
      <w:smallCaps/>
      <w:color w:val="C0504D" w:themeColor="accent2"/>
      <w:spacing w:val="5"/>
      <w:u w:val="single"/>
      <w14:textFill>
        <w14:solidFill>
          <w14:schemeClr w14:val="accent2"/>
        </w14:solidFill>
      </w14:textFill>
    </w:rPr>
  </w:style>
  <w:style w:type="character" w:customStyle="1" w:styleId="37">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标题 2 Char"/>
    <w:basedOn w:val="16"/>
    <w:link w:val="4"/>
    <w:qFormat/>
    <w:uiPriority w:val="9"/>
    <w:rPr>
      <w:rFonts w:asciiTheme="majorHAnsi" w:hAnsiTheme="majorHAnsi" w:eastAsiaTheme="majorEastAsia" w:cstheme="majorBidi"/>
      <w:b/>
      <w:bCs/>
      <w:sz w:val="32"/>
      <w:szCs w:val="32"/>
    </w:rPr>
  </w:style>
  <w:style w:type="character" w:customStyle="1" w:styleId="39">
    <w:name w:val="标题 3 Char"/>
    <w:basedOn w:val="16"/>
    <w:link w:val="5"/>
    <w:qFormat/>
    <w:uiPriority w:val="9"/>
    <w:rPr>
      <w:rFonts w:ascii="Times New Roman" w:hAnsi="Times New Roman" w:eastAsia="宋体" w:cs="Times New Roman"/>
      <w:b/>
      <w:bCs/>
      <w:sz w:val="32"/>
      <w:szCs w:val="32"/>
    </w:rPr>
  </w:style>
  <w:style w:type="character" w:customStyle="1" w:styleId="40">
    <w:name w:val="标题 4 Char"/>
    <w:basedOn w:val="16"/>
    <w:link w:val="6"/>
    <w:qFormat/>
    <w:uiPriority w:val="9"/>
    <w:rPr>
      <w:rFonts w:asciiTheme="majorHAnsi" w:hAnsiTheme="majorHAnsi" w:eastAsiaTheme="majorEastAsia" w:cstheme="majorBidi"/>
      <w:b/>
      <w:bCs/>
      <w:sz w:val="28"/>
      <w:szCs w:val="28"/>
    </w:rPr>
  </w:style>
  <w:style w:type="character" w:customStyle="1" w:styleId="41">
    <w:name w:val="纯文本 Char"/>
    <w:basedOn w:val="16"/>
    <w:link w:val="8"/>
    <w:qFormat/>
    <w:uiPriority w:val="0"/>
    <w:rPr>
      <w:rFonts w:ascii="宋体" w:hAnsi="Courier New" w:eastAsia="宋体" w:cs="Times New Roman"/>
      <w:kern w:val="2"/>
      <w:sz w:val="21"/>
    </w:rPr>
  </w:style>
  <w:style w:type="character" w:customStyle="1" w:styleId="42">
    <w:name w:val="hover"/>
    <w:basedOn w:val="16"/>
    <w:qFormat/>
    <w:uiPriority w:val="0"/>
    <w:rPr>
      <w:color w:val="5FB878"/>
    </w:rPr>
  </w:style>
  <w:style w:type="character" w:customStyle="1" w:styleId="43">
    <w:name w:val="hover1"/>
    <w:basedOn w:val="16"/>
    <w:qFormat/>
    <w:uiPriority w:val="0"/>
    <w:rPr>
      <w:color w:val="FFFFFF"/>
    </w:rPr>
  </w:style>
  <w:style w:type="character" w:customStyle="1" w:styleId="44">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5CD6-23BE-49A1-8050-940C6612502A}">
  <ds:schemaRefs/>
</ds:datastoreItem>
</file>

<file path=docProps/app.xml><?xml version="1.0" encoding="utf-8"?>
<Properties xmlns="http://schemas.openxmlformats.org/officeDocument/2006/extended-properties" xmlns:vt="http://schemas.openxmlformats.org/officeDocument/2006/docPropsVTypes">
  <Template>Normal</Template>
  <Pages>11</Pages>
  <Words>2979</Words>
  <Characters>3134</Characters>
  <Lines>25</Lines>
  <Paragraphs>7</Paragraphs>
  <TotalTime>0</TotalTime>
  <ScaleCrop>false</ScaleCrop>
  <LinksUpToDate>false</LinksUpToDate>
  <CharactersWithSpaces>3407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2023-09-22T02:52:00Z</dcterms:created>
  <dc:creator>刺猬</dc:creator>
  <cp:lastModifiedBy>言笑晏晏</cp:lastModifiedBy>
  <cp:lastPrinted>2023-10-10T00:12:00Z</cp:lastPrinted>
  <dcterms:modified xsi:type="dcterms:W3CDTF">2023-10-12T03:40:10Z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58197F6B3FF14859A863F50896A48710_13</vt:lpwstr>
  </property>
</Properties>
</file>