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bookmarkStart w:id="1" w:name="_GoBack"/>
      <w:bookmarkEnd w:id="1"/>
      <w:bookmarkStart w:id="0" w:name="_top"/>
      <w:r>
        <w:rPr>
          <w:rFonts w:hint="eastAsia" w:ascii="仿宋" w:hAnsi="仿宋" w:eastAsia="仿宋"/>
          <w:b/>
          <w:sz w:val="48"/>
        </w:rPr>
        <w:t xml:space="preserve"> </w:t>
      </w:r>
    </w:p>
    <w:bookmarkEnd w:id="0"/>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lang w:eastAsia="zh-CN"/>
        </w:rPr>
        <w:t>竞争性谈判</w:t>
      </w:r>
      <w:r>
        <w:rPr>
          <w:rFonts w:hint="eastAsia" w:ascii="仿宋" w:hAnsi="仿宋" w:eastAsia="仿宋"/>
          <w:b/>
          <w:sz w:val="72"/>
        </w:rPr>
        <w:t>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jc w:val="center"/>
        <w:rPr>
          <w:rFonts w:hint="default" w:ascii="仿宋" w:hAnsi="仿宋" w:eastAsia="仿宋"/>
          <w:b/>
          <w:bCs/>
          <w:color w:val="000000"/>
          <w:w w:val="100"/>
          <w:sz w:val="36"/>
          <w:szCs w:val="36"/>
          <w:u w:val="single"/>
          <w:lang w:val="en-US" w:eastAsia="zh-CN"/>
        </w:rPr>
      </w:pPr>
      <w:r>
        <w:rPr>
          <w:rFonts w:hint="eastAsia" w:ascii="仿宋" w:hAnsi="仿宋" w:eastAsia="仿宋"/>
          <w:b/>
          <w:sz w:val="36"/>
          <w:szCs w:val="36"/>
        </w:rPr>
        <w:t>名称：</w:t>
      </w:r>
      <w:r>
        <w:rPr>
          <w:rFonts w:hint="eastAsia" w:ascii="仿宋" w:hAnsi="仿宋" w:eastAsia="仿宋"/>
          <w:b/>
          <w:sz w:val="36"/>
          <w:szCs w:val="36"/>
          <w:lang w:val="en-US" w:eastAsia="zh-CN"/>
        </w:rPr>
        <w:t>润城城控集团及下属子公司</w:t>
      </w:r>
      <w:r>
        <w:rPr>
          <w:rFonts w:hint="eastAsia" w:ascii="仿宋" w:hAnsi="仿宋" w:eastAsia="仿宋"/>
          <w:b/>
          <w:bCs/>
          <w:color w:val="000000"/>
          <w:w w:val="100"/>
          <w:sz w:val="36"/>
          <w:szCs w:val="36"/>
          <w:highlight w:val="none"/>
          <w:lang w:val="en-US" w:eastAsia="zh-CN"/>
        </w:rPr>
        <w:t>会计师事务所选聘项目</w:t>
      </w:r>
    </w:p>
    <w:p>
      <w:pPr>
        <w:jc w:val="center"/>
        <w:rPr>
          <w:rFonts w:ascii="仿宋" w:hAnsi="仿宋" w:eastAsia="仿宋"/>
          <w:b/>
          <w:w w:val="90"/>
          <w:sz w:val="36"/>
          <w:u w:val="single"/>
        </w:rPr>
      </w:pPr>
    </w:p>
    <w:p>
      <w:pPr>
        <w:jc w:val="center"/>
        <w:rPr>
          <w:rFonts w:ascii="仿宋" w:hAnsi="仿宋" w:eastAsia="仿宋"/>
          <w:b/>
          <w:sz w:val="36"/>
          <w:u w:val="single"/>
        </w:rPr>
      </w:pPr>
    </w:p>
    <w:p>
      <w:pPr>
        <w:jc w:val="center"/>
        <w:rPr>
          <w:rFonts w:hint="eastAsia" w:ascii="仿宋" w:hAnsi="仿宋" w:eastAsia="仿宋"/>
          <w:b/>
          <w:sz w:val="36"/>
          <w:szCs w:val="36"/>
          <w:lang w:eastAsia="zh-CN"/>
        </w:rPr>
      </w:pPr>
      <w:r>
        <w:rPr>
          <w:rFonts w:hint="eastAsia" w:ascii="仿宋" w:hAnsi="仿宋" w:eastAsia="仿宋"/>
          <w:b/>
          <w:sz w:val="36"/>
          <w:szCs w:val="36"/>
        </w:rPr>
        <w:t>招 标</w:t>
      </w:r>
      <w:r>
        <w:rPr>
          <w:rFonts w:hint="eastAsia" w:ascii="仿宋" w:hAnsi="仿宋" w:eastAsia="仿宋"/>
          <w:b/>
          <w:sz w:val="36"/>
          <w:szCs w:val="36"/>
          <w:highlight w:val="none"/>
        </w:rPr>
        <w:t xml:space="preserve"> 人</w:t>
      </w:r>
      <w:r>
        <w:rPr>
          <w:rFonts w:hint="eastAsia" w:ascii="仿宋" w:hAnsi="仿宋" w:eastAsia="仿宋"/>
          <w:sz w:val="36"/>
          <w:szCs w:val="36"/>
          <w:highlight w:val="none"/>
        </w:rPr>
        <w:t>：</w:t>
      </w:r>
      <w:r>
        <w:rPr>
          <w:rFonts w:hint="eastAsia" w:ascii="仿宋" w:hAnsi="仿宋" w:eastAsia="仿宋"/>
          <w:b/>
          <w:bCs/>
          <w:sz w:val="36"/>
          <w:szCs w:val="36"/>
          <w:highlight w:val="none"/>
        </w:rPr>
        <w:t>江苏润城城市投资控股集团有限公司</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4</w:t>
      </w:r>
      <w:r>
        <w:rPr>
          <w:rFonts w:hint="eastAsia" w:ascii="仿宋" w:hAnsi="仿宋" w:eastAsia="仿宋"/>
          <w:b/>
          <w:sz w:val="36"/>
          <w:szCs w:val="36"/>
        </w:rPr>
        <w:t>年</w:t>
      </w:r>
      <w:r>
        <w:rPr>
          <w:rFonts w:hint="eastAsia" w:ascii="仿宋" w:hAnsi="仿宋" w:eastAsia="仿宋"/>
          <w:b/>
          <w:sz w:val="36"/>
          <w:szCs w:val="36"/>
          <w:lang w:val="en-US" w:eastAsia="zh-CN"/>
        </w:rPr>
        <w:t>2</w:t>
      </w:r>
      <w:r>
        <w:rPr>
          <w:rFonts w:hint="eastAsia" w:ascii="仿宋" w:hAnsi="仿宋" w:eastAsia="仿宋"/>
          <w:b/>
          <w:sz w:val="36"/>
          <w:szCs w:val="36"/>
        </w:rPr>
        <w:t>月</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hint="eastAsia" w:ascii="仿宋" w:hAnsi="仿宋" w:eastAsia="仿宋"/>
          <w:b/>
          <w:sz w:val="32"/>
        </w:rPr>
        <w:sectPr>
          <w:pgSz w:w="11907" w:h="16840"/>
          <w:pgMar w:top="1440" w:right="1275" w:bottom="1440" w:left="1276" w:header="720" w:footer="720" w:gutter="0"/>
          <w:pgNumType w:start="1"/>
          <w:cols w:space="720" w:num="1"/>
          <w:docGrid w:type="lines" w:linePitch="286" w:charSpace="0"/>
        </w:sectPr>
      </w:pPr>
    </w:p>
    <w:p>
      <w:pPr>
        <w:spacing w:line="400" w:lineRule="exact"/>
        <w:jc w:val="center"/>
        <w:rPr>
          <w:rFonts w:ascii="仿宋" w:hAnsi="仿宋" w:eastAsia="仿宋"/>
          <w:b/>
          <w:sz w:val="32"/>
        </w:rPr>
      </w:pPr>
      <w:r>
        <w:rPr>
          <w:rFonts w:hint="eastAsia" w:ascii="仿宋" w:hAnsi="仿宋" w:eastAsia="仿宋"/>
          <w:b/>
          <w:sz w:val="32"/>
        </w:rPr>
        <w:t>第一部分竞争性谈判须知</w:t>
      </w:r>
    </w:p>
    <w:tbl>
      <w:tblPr>
        <w:tblStyle w:val="18"/>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pacing w:val="40"/>
                <w:kern w:val="0"/>
                <w14:textFill>
                  <w14:solidFill>
                    <w14:schemeClr w14:val="tx1"/>
                  </w14:solidFill>
                </w14:textFill>
              </w:rPr>
              <w:t>条</w:t>
            </w:r>
            <w:r>
              <w:rPr>
                <w:rFonts w:hint="eastAsia" w:ascii="仿宋" w:hAnsi="仿宋" w:eastAsia="仿宋"/>
                <w:color w:val="000000" w:themeColor="text1"/>
                <w:kern w:val="0"/>
                <w14:textFill>
                  <w14:solidFill>
                    <w14:schemeClr w14:val="tx1"/>
                  </w14:solidFill>
                </w14:textFill>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auto"/>
              </w:rPr>
            </w:pPr>
            <w:r>
              <w:rPr>
                <w:rFonts w:hint="eastAsia" w:ascii="仿宋" w:hAnsi="仿宋" w:eastAsia="仿宋"/>
                <w:b/>
                <w:color w:val="auto"/>
                <w:spacing w:val="197"/>
              </w:rPr>
              <w:t>2.</w:t>
            </w:r>
            <w:r>
              <w:rPr>
                <w:rFonts w:hint="eastAsia" w:ascii="仿宋" w:hAnsi="仿宋" w:eastAsia="仿宋"/>
                <w:b/>
                <w:color w:val="auto"/>
                <w:spacing w:val="1"/>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eastAsia" w:ascii="仿宋" w:hAnsi="仿宋" w:eastAsia="仿宋" w:cs="Arial"/>
                <w:bCs/>
                <w:color w:val="auto"/>
                <w:sz w:val="28"/>
                <w:szCs w:val="28"/>
                <w:lang w:eastAsia="zh-CN"/>
              </w:rPr>
            </w:pPr>
            <w:r>
              <w:rPr>
                <w:rFonts w:hint="eastAsia" w:ascii="仿宋" w:hAnsi="仿宋" w:eastAsia="仿宋"/>
                <w:color w:val="auto"/>
                <w:sz w:val="28"/>
                <w:szCs w:val="28"/>
              </w:rPr>
              <w:t>招标人名称：江苏润城城市投资控股集团有限公司</w:t>
            </w:r>
          </w:p>
          <w:p>
            <w:pPr>
              <w:spacing w:line="520" w:lineRule="exact"/>
              <w:jc w:val="left"/>
              <w:rPr>
                <w:rFonts w:hint="default" w:ascii="仿宋" w:hAnsi="仿宋" w:eastAsia="仿宋" w:cs="宋体"/>
                <w:color w:val="auto"/>
                <w:kern w:val="0"/>
                <w:sz w:val="28"/>
                <w:szCs w:val="28"/>
                <w:lang w:val="en-US" w:eastAsia="zh-CN"/>
              </w:rPr>
            </w:pPr>
            <w:r>
              <w:rPr>
                <w:rFonts w:hint="eastAsia" w:ascii="仿宋" w:hAnsi="仿宋" w:eastAsia="仿宋"/>
                <w:color w:val="auto"/>
                <w:sz w:val="28"/>
                <w:szCs w:val="28"/>
              </w:rPr>
              <w:t>联  系  人：</w:t>
            </w:r>
            <w:r>
              <w:rPr>
                <w:rFonts w:hint="eastAsia" w:ascii="仿宋" w:hAnsi="仿宋" w:eastAsia="仿宋"/>
                <w:color w:val="auto"/>
                <w:sz w:val="28"/>
                <w:szCs w:val="28"/>
                <w:lang w:val="en-US" w:eastAsia="zh-CN"/>
              </w:rPr>
              <w:t xml:space="preserve">  龚培娟</w:t>
            </w:r>
          </w:p>
          <w:p>
            <w:pPr>
              <w:spacing w:line="520" w:lineRule="exact"/>
              <w:jc w:val="left"/>
              <w:rPr>
                <w:rFonts w:hint="eastAsia" w:ascii="仿宋" w:hAnsi="仿宋" w:eastAsia="仿宋" w:cs="Arial"/>
                <w:color w:val="auto"/>
                <w:sz w:val="28"/>
                <w:szCs w:val="28"/>
                <w:lang w:eastAsia="zh-CN"/>
              </w:rPr>
            </w:pPr>
            <w:r>
              <w:rPr>
                <w:rFonts w:hint="eastAsia" w:ascii="仿宋" w:hAnsi="仿宋" w:eastAsia="仿宋"/>
                <w:color w:val="auto"/>
                <w:sz w:val="28"/>
                <w:szCs w:val="28"/>
              </w:rPr>
              <w:t>电      话：</w:t>
            </w:r>
            <w:r>
              <w:rPr>
                <w:rFonts w:hint="eastAsia" w:ascii="仿宋" w:hAnsi="仿宋" w:eastAsia="仿宋"/>
                <w:color w:val="auto"/>
                <w:sz w:val="28"/>
                <w:szCs w:val="28"/>
                <w:lang w:val="en-US" w:eastAsia="zh-CN"/>
              </w:rPr>
              <w:t xml:space="preserve">  19852166279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2</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14:textFill>
                  <w14:solidFill>
                    <w14:schemeClr w14:val="tx1"/>
                  </w14:solidFill>
                </w14:textFill>
              </w:rPr>
              <w:t>名称：</w:t>
            </w:r>
            <w:r>
              <w:rPr>
                <w:rFonts w:hint="eastAsia" w:ascii="仿宋" w:hAnsi="仿宋" w:eastAsia="仿宋"/>
                <w:bCs/>
                <w:color w:val="000000"/>
                <w:sz w:val="28"/>
                <w:szCs w:val="28"/>
                <w:lang w:eastAsia="zh-CN"/>
              </w:rPr>
              <w:t>润城城控集团及下属子公司会计师事务所选聘项目</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3</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lang w:eastAsia="zh-CN"/>
                <w14:textFill>
                  <w14:solidFill>
                    <w14:schemeClr w14:val="tx1"/>
                  </w14:solidFill>
                </w14:textFill>
              </w:rPr>
              <w:t>竞争性谈判</w:t>
            </w:r>
            <w:r>
              <w:rPr>
                <w:rFonts w:hint="eastAsia" w:ascii="仿宋" w:hAnsi="仿宋" w:eastAsia="仿宋"/>
                <w:color w:val="000000" w:themeColor="text1"/>
                <w:sz w:val="28"/>
                <w:szCs w:val="28"/>
                <w:u w:val="single"/>
                <w14:textFill>
                  <w14:solidFill>
                    <w14:schemeClr w14:val="tx1"/>
                  </w14:solidFill>
                </w14:textFill>
              </w:rPr>
              <w:t>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kern w:val="0"/>
                <w14:textFill>
                  <w14:solidFill>
                    <w14:schemeClr w14:val="tx1"/>
                  </w14:solidFill>
                </w14:textFill>
              </w:rPr>
              <w:t>2.</w:t>
            </w:r>
            <w:r>
              <w:rPr>
                <w:rFonts w:hint="eastAsia" w:ascii="仿宋" w:hAnsi="仿宋" w:eastAsia="仿宋"/>
                <w:b/>
                <w:color w:val="000000" w:themeColor="text1"/>
                <w:spacing w:val="1"/>
                <w:kern w:val="0"/>
                <w14:textFill>
                  <w14:solidFill>
                    <w14:schemeClr w14:val="tx1"/>
                  </w14:solidFill>
                </w14:textFill>
              </w:rPr>
              <w:t>4</w:t>
            </w:r>
          </w:p>
        </w:tc>
        <w:tc>
          <w:tcPr>
            <w:tcW w:w="8818" w:type="dxa"/>
            <w:gridSpan w:val="2"/>
            <w:tcBorders>
              <w:top w:val="single" w:color="auto" w:sz="4" w:space="0"/>
              <w:bottom w:val="single" w:color="auto" w:sz="4" w:space="0"/>
            </w:tcBorders>
            <w:vAlign w:val="center"/>
          </w:tcPr>
          <w:p>
            <w:pPr>
              <w:spacing w:line="520" w:lineRule="exact"/>
              <w:rPr>
                <w:rFonts w:hint="default" w:ascii="仿宋" w:hAnsi="仿宋" w:eastAsia="仿宋"/>
                <w:b/>
                <w:color w:val="000000" w:themeColor="text1"/>
                <w:kern w:val="0"/>
                <w:sz w:val="28"/>
                <w:szCs w:val="28"/>
                <w:lang w:val="en-US" w:eastAsia="zh-CN"/>
                <w14:textFill>
                  <w14:solidFill>
                    <w14:schemeClr w14:val="tx1"/>
                  </w14:solidFill>
                </w14:textFill>
              </w:rPr>
            </w:pPr>
            <w:r>
              <w:rPr>
                <w:rFonts w:hint="eastAsia" w:ascii="仿宋" w:hAnsi="仿宋" w:eastAsia="仿宋"/>
                <w:b/>
                <w:color w:val="FF0000"/>
                <w:kern w:val="0"/>
                <w:sz w:val="28"/>
                <w:szCs w:val="28"/>
                <w:lang w:val="en-US" w:eastAsia="zh-CN"/>
              </w:rPr>
              <w:t>报名时</w:t>
            </w:r>
            <w:r>
              <w:rPr>
                <w:rFonts w:hint="eastAsia" w:ascii="仿宋" w:hAnsi="仿宋" w:eastAsia="仿宋"/>
                <w:b/>
                <w:color w:val="FF0000"/>
                <w:kern w:val="0"/>
                <w:sz w:val="28"/>
                <w:szCs w:val="28"/>
                <w:highlight w:val="none"/>
                <w:lang w:val="en-US" w:eastAsia="zh-CN"/>
              </w:rPr>
              <w:t>间：2024年 2月 21日- 2月 28日10：00前</w:t>
            </w:r>
            <w:r>
              <w:rPr>
                <w:rFonts w:hint="eastAsia" w:ascii="仿宋" w:hAnsi="仿宋" w:eastAsia="仿宋"/>
                <w:b/>
                <w:color w:val="000000" w:themeColor="text1"/>
                <w:kern w:val="0"/>
                <w:sz w:val="28"/>
                <w:szCs w:val="28"/>
                <w:highlight w:val="none"/>
                <w:lang w:val="en-US" w:eastAsia="zh-CN"/>
                <w14:textFill>
                  <w14:solidFill>
                    <w14:schemeClr w14:val="tx1"/>
                  </w14:solidFill>
                </w14:textFill>
              </w:rPr>
              <w:t>，</w:t>
            </w:r>
            <w:r>
              <w:rPr>
                <w:rFonts w:hint="eastAsia" w:ascii="仿宋" w:hAnsi="仿宋" w:eastAsia="仿宋"/>
                <w:b/>
                <w:color w:val="000000" w:themeColor="text1"/>
                <w:kern w:val="0"/>
                <w:sz w:val="28"/>
                <w:szCs w:val="28"/>
                <w:lang w:val="en-US" w:eastAsia="zh-CN"/>
                <w14:textFill>
                  <w14:solidFill>
                    <w14:schemeClr w14:val="tx1"/>
                  </w14:solidFill>
                </w14:textFill>
              </w:rPr>
              <w:t>逾期不于受理</w:t>
            </w:r>
            <w:r>
              <w:rPr>
                <w:rFonts w:hint="eastAsia" w:ascii="仿宋" w:hAnsi="仿宋" w:eastAsia="仿宋"/>
                <w:b/>
                <w:color w:val="000000" w:themeColor="text1"/>
                <w:kern w:val="0"/>
                <w:sz w:val="28"/>
                <w:szCs w:val="28"/>
                <w:highlight w:val="none"/>
                <w:lang w:val="en-US" w:eastAsia="zh-CN"/>
                <w14:textFill>
                  <w14:solidFill>
                    <w14:schemeClr w14:val="tx1"/>
                  </w14:solidFill>
                </w14:textFill>
              </w:rPr>
              <w:t>。</w:t>
            </w:r>
          </w:p>
          <w:p>
            <w:pPr>
              <w:spacing w:line="520" w:lineRule="exac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本</w:t>
            </w:r>
            <w:r>
              <w:rPr>
                <w:rFonts w:hint="eastAsia" w:ascii="仿宋" w:hAnsi="仿宋" w:eastAsia="仿宋"/>
                <w:b/>
                <w:color w:val="000000" w:themeColor="text1"/>
                <w:kern w:val="0"/>
                <w:sz w:val="28"/>
                <w:szCs w:val="28"/>
                <w:lang w:val="en-US" w:eastAsia="zh-CN"/>
                <w14:textFill>
                  <w14:solidFill>
                    <w14:schemeClr w14:val="tx1"/>
                  </w14:solidFill>
                </w14:textFill>
              </w:rPr>
              <w:t>次</w:t>
            </w:r>
            <w:r>
              <w:rPr>
                <w:rFonts w:hint="eastAsia" w:ascii="仿宋" w:hAnsi="仿宋" w:eastAsia="仿宋"/>
                <w:b/>
                <w:color w:val="000000" w:themeColor="text1"/>
                <w:kern w:val="0"/>
                <w:sz w:val="28"/>
                <w:szCs w:val="28"/>
                <w14:textFill>
                  <w14:solidFill>
                    <w14:schemeClr w14:val="tx1"/>
                  </w14:solidFill>
                </w14:textFill>
              </w:rPr>
              <w:t>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*2.</w:t>
            </w:r>
            <w:r>
              <w:rPr>
                <w:rFonts w:hint="eastAsia" w:ascii="仿宋" w:hAnsi="仿宋" w:eastAsia="仿宋" w:cs="仿宋"/>
                <w:b/>
                <w:color w:val="000000" w:themeColor="text1"/>
                <w:spacing w:val="1"/>
                <w14:textFill>
                  <w14:solidFill>
                    <w14:schemeClr w14:val="tx1"/>
                  </w14:solidFill>
                </w14:textFill>
              </w:rPr>
              <w:t>5</w:t>
            </w:r>
          </w:p>
        </w:tc>
        <w:tc>
          <w:tcPr>
            <w:tcW w:w="8788" w:type="dxa"/>
            <w:tcBorders>
              <w:top w:val="single" w:color="auto" w:sz="4" w:space="0"/>
              <w:bottom w:val="single" w:color="auto" w:sz="4" w:space="0"/>
            </w:tcBorders>
            <w:vAlign w:val="center"/>
          </w:tcPr>
          <w:p>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投标人一旦中标，招标人将不会对其报价做出其他补偿。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pacing w:val="99"/>
                <w:kern w:val="0"/>
                <w:fitText w:val="717" w:id="-1973140480"/>
                <w14:textFill>
                  <w14:solidFill>
                    <w14:schemeClr w14:val="tx1"/>
                  </w14:solidFill>
                </w14:textFill>
              </w:rPr>
              <w:t>*2.</w:t>
            </w:r>
            <w:r>
              <w:rPr>
                <w:rFonts w:hint="eastAsia" w:ascii="仿宋" w:hAnsi="仿宋" w:eastAsia="仿宋" w:cs="仿宋"/>
                <w:b/>
                <w:color w:val="000000" w:themeColor="text1"/>
                <w:spacing w:val="0"/>
                <w:kern w:val="0"/>
                <w:fitText w:val="717" w:id="-1973140480"/>
                <w14:textFill>
                  <w14:solidFill>
                    <w14:schemeClr w14:val="tx1"/>
                  </w14:solidFill>
                </w14:textFill>
              </w:rPr>
              <w:t>6</w:t>
            </w:r>
          </w:p>
        </w:tc>
        <w:tc>
          <w:tcPr>
            <w:tcW w:w="8788" w:type="dxa"/>
            <w:tcBorders>
              <w:top w:val="single" w:color="auto" w:sz="4" w:space="0"/>
              <w:bottom w:val="nil"/>
            </w:tcBorders>
            <w:vAlign w:val="center"/>
          </w:tcPr>
          <w:p>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pPr>
              <w:spacing w:line="360" w:lineRule="exact"/>
              <w:jc w:val="left"/>
              <w:rPr>
                <w:rFonts w:hint="eastAsia" w:ascii="仿宋" w:hAnsi="仿宋" w:eastAsia="仿宋" w:cs="仿宋"/>
                <w:i/>
                <w:color w:val="FF0000"/>
                <w:sz w:val="18"/>
                <w:highlight w:val="none"/>
                <w:lang w:eastAsia="zh-CN"/>
              </w:rPr>
            </w:pPr>
            <w:r>
              <w:rPr>
                <w:rFonts w:hint="eastAsia" w:ascii="仿宋" w:hAnsi="仿宋" w:eastAsia="仿宋" w:cs="仿宋"/>
                <w:color w:val="000000" w:themeColor="text1"/>
                <w:kern w:val="0"/>
                <w:sz w:val="28"/>
                <w:szCs w:val="28"/>
                <w:highlight w:val="none"/>
                <w14:textFill>
                  <w14:solidFill>
                    <w14:schemeClr w14:val="tx1"/>
                  </w14:solidFill>
                </w14:textFill>
              </w:rPr>
              <w:t>招标范围：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14:textFill>
                  <w14:solidFill>
                    <w14:schemeClr w14:val="tx1"/>
                  </w14:solidFill>
                </w14:textFill>
              </w:rPr>
              <w:t>招标参数要求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投标人资格要求：</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、投标文件递交截止日之前，投标人未被“信用中国、中国政府采购网”列入失信被执行人、重大税收违法案件当事人名单、政府采购严重违法失信行为记录名单。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6、</w:t>
            </w:r>
            <w:r>
              <w:rPr>
                <w:rFonts w:hint="eastAsia" w:ascii="仿宋" w:hAnsi="仿宋" w:eastAsia="仿宋"/>
                <w:b/>
                <w:bCs w:val="0"/>
                <w:color w:val="0D0D0D"/>
                <w:spacing w:val="-10"/>
                <w:sz w:val="28"/>
                <w:szCs w:val="28"/>
                <w:lang w:val="en-US" w:eastAsia="zh-CN"/>
              </w:rPr>
              <w:t>本项目的特定资格要求:供应商具有财政部门颁发的《会计师事务所执业证书》，本项目允许具备《会计师事务所执业证书》的分支机构参加采购活动，但签订采购合同及出具审计报告必须以总公司的名义进行。投标人(或其所在总所)需依据《证券服务机构从事证券服务业务备案管理规定》完成中国证监会政务服务平台备案并提供证监会官网备案信息加盖投标单位公章。(http://www.csrc.gov.cn/csrc/c105942/c1763158/content.shtml)</w:t>
            </w:r>
            <w:r>
              <w:rPr>
                <w:rFonts w:hint="eastAsia" w:ascii="仿宋" w:hAnsi="仿宋" w:eastAsia="仿宋" w:cs="宋体"/>
                <w:b/>
                <w:bCs w:val="0"/>
                <w:color w:val="000000"/>
                <w:kern w:val="0"/>
                <w:sz w:val="28"/>
                <w:szCs w:val="28"/>
                <w:lang w:val="en-US" w:eastAsia="zh-CN"/>
              </w:rPr>
              <w:t>。</w:t>
            </w:r>
          </w:p>
        </w:tc>
      </w:tr>
    </w:tbl>
    <w:p>
      <w:pPr>
        <w:spacing w:line="360" w:lineRule="exact"/>
        <w:jc w:val="center"/>
        <w:rPr>
          <w:rFonts w:hint="eastAsia" w:ascii="仿宋" w:hAnsi="仿宋" w:eastAsia="仿宋"/>
          <w:b/>
          <w:color w:val="000000" w:themeColor="text1"/>
          <w:spacing w:val="96"/>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br w:type="page"/>
      </w:r>
    </w:p>
    <w:tbl>
      <w:tblPr>
        <w:tblStyle w:val="18"/>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881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9</w:t>
            </w:r>
          </w:p>
        </w:tc>
        <w:tc>
          <w:tcPr>
            <w:tcW w:w="8818" w:type="dxa"/>
            <w:tcBorders>
              <w:top w:val="single" w:color="auto" w:sz="4" w:space="0"/>
              <w:bottom w:val="single" w:color="000000" w:sz="6" w:space="0"/>
            </w:tcBorders>
            <w:vAlign w:val="center"/>
          </w:tcPr>
          <w:p>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投标文件的组成及要求：</w:t>
            </w:r>
          </w:p>
          <w:p>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报价函</w:t>
            </w:r>
          </w:p>
          <w:p>
            <w:pPr>
              <w:pStyle w:val="11"/>
              <w:numPr>
                <w:ilvl w:val="0"/>
                <w:numId w:val="0"/>
              </w:numPr>
              <w:spacing w:line="240" w:lineRule="auto"/>
              <w:ind w:right="6" w:rightChars="0"/>
              <w:rPr>
                <w:rFonts w:hint="default" w:ascii="仿宋" w:hAnsi="仿宋" w:eastAsia="仿宋" w:cs="仿宋"/>
                <w:b/>
                <w:bCs/>
                <w:highlight w:val="none"/>
                <w:lang w:val="en-US" w:eastAsia="zh-CN"/>
              </w:rPr>
            </w:pPr>
            <w:r>
              <w:rPr>
                <w:rFonts w:hint="eastAsia" w:ascii="仿宋" w:hAnsi="仿宋" w:eastAsia="仿宋" w:cs="仿宋"/>
                <w:b/>
                <w:bCs/>
                <w:highlight w:val="none"/>
                <w:lang w:eastAsia="zh-CN"/>
              </w:rPr>
              <w:t>（</w:t>
            </w:r>
            <w:r>
              <w:rPr>
                <w:rFonts w:hint="eastAsia" w:ascii="仿宋" w:hAnsi="仿宋" w:eastAsia="仿宋" w:cs="仿宋"/>
                <w:b/>
                <w:bCs/>
                <w:highlight w:val="none"/>
                <w:lang w:val="en-US" w:eastAsia="zh-CN"/>
              </w:rPr>
              <w:t>2</w:t>
            </w:r>
            <w:r>
              <w:rPr>
                <w:rFonts w:hint="eastAsia" w:ascii="仿宋" w:hAnsi="仿宋" w:eastAsia="仿宋" w:cs="仿宋"/>
                <w:b/>
                <w:bCs/>
                <w:highlight w:val="none"/>
                <w:lang w:eastAsia="zh-CN"/>
              </w:rPr>
              <w:t>）</w:t>
            </w:r>
            <w:r>
              <w:rPr>
                <w:rFonts w:hint="eastAsia" w:ascii="仿宋" w:hAnsi="仿宋" w:eastAsia="仿宋" w:cs="仿宋"/>
                <w:b/>
                <w:bCs/>
                <w:highlight w:val="none"/>
                <w:lang w:val="en-US" w:eastAsia="zh-CN"/>
              </w:rPr>
              <w:t>报价明细表（格式自拟）</w:t>
            </w:r>
          </w:p>
          <w:p>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rPr>
              <w:t>投标承诺书</w:t>
            </w:r>
          </w:p>
          <w:p>
            <w:pPr>
              <w:spacing w:line="240" w:lineRule="auto"/>
              <w:rPr>
                <w:rFonts w:ascii="仿宋" w:hAnsi="仿宋" w:eastAsia="仿宋"/>
                <w:b/>
                <w:bCs/>
                <w:color w:val="0D0D0D"/>
                <w:spacing w:val="-10"/>
                <w:sz w:val="28"/>
                <w:szCs w:val="28"/>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p>
          <w:p>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pPr>
              <w:spacing w:line="240" w:lineRule="auto"/>
              <w:rPr>
                <w:rFonts w:hint="default"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lang w:eastAsia="zh-CN"/>
              </w:rPr>
              <w:t>（</w:t>
            </w:r>
            <w:r>
              <w:rPr>
                <w:rFonts w:hint="eastAsia" w:ascii="仿宋" w:hAnsi="仿宋" w:eastAsia="仿宋"/>
                <w:b/>
                <w:bCs/>
                <w:color w:val="0D0D0D"/>
                <w:spacing w:val="-10"/>
                <w:sz w:val="28"/>
                <w:szCs w:val="28"/>
                <w:lang w:val="en-US" w:eastAsia="zh-CN"/>
              </w:rPr>
              <w:t>6</w:t>
            </w:r>
            <w:r>
              <w:rPr>
                <w:rFonts w:hint="eastAsia" w:ascii="仿宋" w:hAnsi="仿宋" w:eastAsia="仿宋"/>
                <w:b/>
                <w:bCs/>
                <w:color w:val="0D0D0D"/>
                <w:spacing w:val="-10"/>
                <w:sz w:val="28"/>
                <w:szCs w:val="28"/>
                <w:lang w:eastAsia="zh-CN"/>
              </w:rPr>
              <w:t>）</w:t>
            </w:r>
            <w:r>
              <w:rPr>
                <w:rFonts w:hint="eastAsia" w:ascii="仿宋" w:hAnsi="仿宋" w:eastAsia="仿宋"/>
                <w:b/>
                <w:bCs w:val="0"/>
                <w:color w:val="0D0D0D"/>
                <w:spacing w:val="-10"/>
                <w:sz w:val="28"/>
                <w:szCs w:val="28"/>
                <w:lang w:val="en-US" w:eastAsia="zh-CN"/>
              </w:rPr>
              <w:t>相关资质文件及其他证明文件</w:t>
            </w:r>
          </w:p>
          <w:p>
            <w:pPr>
              <w:pStyle w:val="12"/>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0</w:t>
            </w:r>
          </w:p>
        </w:tc>
        <w:tc>
          <w:tcPr>
            <w:tcW w:w="8818" w:type="dxa"/>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1</w:t>
            </w:r>
          </w:p>
        </w:tc>
        <w:tc>
          <w:tcPr>
            <w:tcW w:w="8818" w:type="dxa"/>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2</w:t>
            </w:r>
          </w:p>
        </w:tc>
        <w:tc>
          <w:tcPr>
            <w:tcW w:w="8818" w:type="dxa"/>
            <w:tcBorders>
              <w:top w:val="single" w:color="auto" w:sz="4" w:space="0"/>
              <w:bottom w:val="single" w:color="auto" w:sz="4" w:space="0"/>
            </w:tcBorders>
            <w:vAlign w:val="center"/>
          </w:tcPr>
          <w:p>
            <w:pPr>
              <w:spacing w:line="340" w:lineRule="exact"/>
              <w:rPr>
                <w:rFonts w:ascii="仿宋" w:hAnsi="仿宋" w:eastAsia="仿宋"/>
                <w:b/>
                <w:spacing w:val="-16"/>
                <w:sz w:val="28"/>
                <w:szCs w:val="28"/>
              </w:rPr>
            </w:pPr>
            <w:r>
              <w:rPr>
                <w:rFonts w:hint="eastAsia" w:ascii="仿宋" w:hAnsi="仿宋" w:eastAsia="仿宋"/>
                <w:spacing w:val="-16"/>
                <w:sz w:val="28"/>
                <w:szCs w:val="28"/>
              </w:rPr>
              <w:t>提交投标文件截</w:t>
            </w:r>
            <w:r>
              <w:rPr>
                <w:rFonts w:hint="eastAsia" w:ascii="仿宋" w:hAnsi="仿宋" w:eastAsia="仿宋"/>
                <w:spacing w:val="-16"/>
                <w:sz w:val="28"/>
                <w:szCs w:val="28"/>
                <w:highlight w:val="none"/>
              </w:rPr>
              <w:t>止时间：</w:t>
            </w:r>
            <w:r>
              <w:rPr>
                <w:rFonts w:hint="eastAsia" w:ascii="仿宋" w:hAnsi="仿宋" w:eastAsia="仿宋"/>
                <w:b/>
                <w:color w:val="FF0000"/>
                <w:spacing w:val="-16"/>
                <w:sz w:val="28"/>
                <w:szCs w:val="28"/>
                <w:highlight w:val="none"/>
              </w:rPr>
              <w:t>202</w:t>
            </w:r>
            <w:r>
              <w:rPr>
                <w:rFonts w:hint="eastAsia" w:ascii="仿宋" w:hAnsi="仿宋" w:eastAsia="仿宋"/>
                <w:b/>
                <w:color w:val="FF0000"/>
                <w:spacing w:val="-16"/>
                <w:sz w:val="28"/>
                <w:szCs w:val="28"/>
                <w:highlight w:val="none"/>
                <w:lang w:val="en-US" w:eastAsia="zh-CN"/>
              </w:rPr>
              <w:t>4</w:t>
            </w:r>
            <w:r>
              <w:rPr>
                <w:rFonts w:hint="eastAsia" w:ascii="仿宋" w:hAnsi="仿宋" w:eastAsia="仿宋"/>
                <w:b/>
                <w:color w:val="FF0000"/>
                <w:spacing w:val="-16"/>
                <w:sz w:val="28"/>
                <w:szCs w:val="28"/>
                <w:highlight w:val="none"/>
              </w:rPr>
              <w:t>年</w:t>
            </w:r>
            <w:r>
              <w:rPr>
                <w:rFonts w:hint="eastAsia" w:ascii="仿宋" w:hAnsi="仿宋" w:eastAsia="仿宋"/>
                <w:b/>
                <w:color w:val="FF0000"/>
                <w:spacing w:val="-16"/>
                <w:sz w:val="28"/>
                <w:szCs w:val="28"/>
                <w:highlight w:val="none"/>
                <w:lang w:val="en-US" w:eastAsia="zh-CN"/>
              </w:rPr>
              <w:t xml:space="preserve"> 2 </w:t>
            </w:r>
            <w:r>
              <w:rPr>
                <w:rFonts w:hint="eastAsia" w:ascii="仿宋" w:hAnsi="仿宋" w:eastAsia="仿宋"/>
                <w:b/>
                <w:color w:val="FF0000"/>
                <w:spacing w:val="-16"/>
                <w:sz w:val="28"/>
                <w:szCs w:val="28"/>
                <w:highlight w:val="none"/>
              </w:rPr>
              <w:t>月</w:t>
            </w:r>
            <w:r>
              <w:rPr>
                <w:rFonts w:hint="eastAsia" w:ascii="仿宋" w:hAnsi="仿宋" w:eastAsia="仿宋"/>
                <w:b/>
                <w:color w:val="FF0000"/>
                <w:spacing w:val="-16"/>
                <w:sz w:val="28"/>
                <w:szCs w:val="28"/>
                <w:highlight w:val="none"/>
                <w:lang w:val="en-US" w:eastAsia="zh-CN"/>
              </w:rPr>
              <w:t>28</w:t>
            </w:r>
            <w:r>
              <w:rPr>
                <w:rFonts w:hint="eastAsia" w:ascii="仿宋" w:hAnsi="仿宋" w:eastAsia="仿宋"/>
                <w:b/>
                <w:bCs/>
                <w:color w:val="FF0000"/>
                <w:spacing w:val="-16"/>
                <w:sz w:val="28"/>
                <w:szCs w:val="28"/>
                <w:highlight w:val="none"/>
              </w:rPr>
              <w:t>日</w:t>
            </w:r>
            <w:r>
              <w:rPr>
                <w:rFonts w:hint="eastAsia" w:ascii="仿宋" w:hAnsi="仿宋" w:eastAsia="仿宋"/>
                <w:b/>
                <w:color w:val="FF0000"/>
                <w:spacing w:val="-16"/>
                <w:sz w:val="28"/>
                <w:szCs w:val="28"/>
                <w:highlight w:val="none"/>
                <w:lang w:val="en-US" w:eastAsia="zh-CN"/>
              </w:rPr>
              <w:t xml:space="preserve"> 15 </w:t>
            </w:r>
            <w:r>
              <w:rPr>
                <w:rFonts w:hint="eastAsia" w:ascii="仿宋" w:hAnsi="仿宋" w:eastAsia="仿宋"/>
                <w:b/>
                <w:color w:val="FF0000"/>
                <w:spacing w:val="-16"/>
                <w:sz w:val="28"/>
                <w:szCs w:val="28"/>
                <w:highlight w:val="none"/>
              </w:rPr>
              <w:t>时</w:t>
            </w:r>
            <w:r>
              <w:rPr>
                <w:rFonts w:hint="eastAsia" w:ascii="仿宋" w:hAnsi="仿宋" w:eastAsia="仿宋"/>
                <w:b/>
                <w:color w:val="FF0000"/>
                <w:spacing w:val="-16"/>
                <w:sz w:val="28"/>
                <w:szCs w:val="28"/>
                <w:highlight w:val="none"/>
                <w:lang w:val="en-US" w:eastAsia="zh-CN"/>
              </w:rPr>
              <w:t xml:space="preserve"> 00 </w:t>
            </w:r>
            <w:r>
              <w:rPr>
                <w:rFonts w:hint="eastAsia" w:ascii="仿宋" w:hAnsi="仿宋" w:eastAsia="仿宋"/>
                <w:b/>
                <w:color w:val="FF0000"/>
                <w:spacing w:val="-16"/>
                <w:sz w:val="28"/>
                <w:szCs w:val="28"/>
                <w:highlight w:val="none"/>
              </w:rPr>
              <w:t>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color w:val="000000" w:themeColor="text1"/>
                <w14:textFill>
                  <w14:solidFill>
                    <w14:schemeClr w14:val="tx1"/>
                  </w14:solidFill>
                </w14:textFill>
              </w:rPr>
            </w:pPr>
            <w:r>
              <w:rPr>
                <w:rFonts w:hint="eastAsia" w:ascii="仿宋" w:hAnsi="仿宋" w:eastAsia="仿宋"/>
                <w:color w:val="0000FF"/>
                <w:spacing w:val="-16"/>
                <w:sz w:val="28"/>
                <w:szCs w:val="28"/>
              </w:rPr>
              <w:t>收标书、开标地点：</w:t>
            </w:r>
            <w:r>
              <w:rPr>
                <w:rFonts w:hint="eastAsia" w:ascii="仿宋" w:hAnsi="仿宋" w:eastAsia="仿宋"/>
                <w:color w:val="0000FF"/>
                <w:spacing w:val="-16"/>
                <w:sz w:val="28"/>
                <w:szCs w:val="28"/>
                <w:lang w:val="en-US" w:eastAsia="zh-CN"/>
              </w:rPr>
              <w:t>江苏省邳州市江苏润城资产经营集团有限公司会议室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竞 争 性 谈 判 程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pacing w:val="76"/>
                <w:sz w:val="24"/>
                <w14:textFill>
                  <w14:solidFill>
                    <w14:schemeClr w14:val="tx1"/>
                  </w14:solidFill>
                </w14:textFill>
              </w:rPr>
              <w:t>2.1</w:t>
            </w:r>
            <w:r>
              <w:rPr>
                <w:rFonts w:hint="eastAsia" w:ascii="仿宋" w:hAnsi="仿宋" w:eastAsia="仿宋"/>
                <w:b/>
                <w:color w:val="000000" w:themeColor="text1"/>
                <w:spacing w:val="1"/>
                <w:sz w:val="24"/>
                <w14:textFill>
                  <w14:solidFill>
                    <w14:schemeClr w14:val="tx1"/>
                  </w14:solidFill>
                </w14:textFill>
              </w:rPr>
              <w:t>7</w:t>
            </w:r>
          </w:p>
        </w:tc>
        <w:tc>
          <w:tcPr>
            <w:tcW w:w="8818" w:type="dxa"/>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2.公开唱价(一次报价)。</w:t>
            </w:r>
          </w:p>
          <w:p>
            <w:pPr>
              <w:spacing w:line="360" w:lineRule="exact"/>
              <w:ind w:left="280" w:hanging="280" w:hangingChars="1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3.投标申请人在规定时间内提交最后报价；</w:t>
            </w:r>
          </w:p>
          <w:p>
            <w:pPr>
              <w:spacing w:line="360" w:lineRule="exact"/>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en-US"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评标、定</w:t>
            </w:r>
            <w:r>
              <w:rPr>
                <w:rFonts w:hint="eastAsia" w:ascii="仿宋" w:hAnsi="仿宋" w:eastAsia="仿宋"/>
                <w:sz w:val="28"/>
                <w:szCs w:val="28"/>
              </w:rPr>
              <w:t>评办法：</w:t>
            </w:r>
            <w:r>
              <w:rPr>
                <w:rFonts w:hint="eastAsia" w:ascii="仿宋" w:hAnsi="仿宋" w:eastAsia="仿宋"/>
                <w:sz w:val="28"/>
                <w:szCs w:val="28"/>
                <w:lang w:val="en-US" w:eastAsia="zh-CN"/>
              </w:rPr>
              <w:t>采用综合评分评标，综合评分最高</w:t>
            </w:r>
            <w:r>
              <w:rPr>
                <w:rFonts w:hint="eastAsia" w:ascii="仿宋" w:hAnsi="仿宋" w:eastAsia="仿宋"/>
                <w:sz w:val="28"/>
                <w:szCs w:val="28"/>
              </w:rPr>
              <w:t>的投标企业作为第一中标候选人</w:t>
            </w:r>
            <w:r>
              <w:rPr>
                <w:rFonts w:hint="eastAsia" w:ascii="仿宋" w:hAnsi="仿宋" w:eastAsia="仿宋"/>
                <w:sz w:val="28"/>
                <w:szCs w:val="28"/>
                <w:lang w:eastAsia="zh-CN"/>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pacing w:val="76"/>
                <w:sz w:val="24"/>
                <w:szCs w:val="24"/>
                <w14:textFill>
                  <w14:solidFill>
                    <w14:schemeClr w14:val="tx1"/>
                  </w14:solidFill>
                </w14:textFill>
              </w:rPr>
              <w:t>2.1</w:t>
            </w:r>
            <w:r>
              <w:rPr>
                <w:rFonts w:hint="eastAsia" w:ascii="仿宋" w:hAnsi="仿宋" w:eastAsia="仿宋"/>
                <w:b/>
                <w:color w:val="000000" w:themeColor="text1"/>
                <w:spacing w:val="1"/>
                <w:sz w:val="24"/>
                <w:szCs w:val="24"/>
                <w14:textFill>
                  <w14:solidFill>
                    <w14:schemeClr w14:val="tx1"/>
                  </w14:solidFill>
                </w14:textFill>
              </w:rPr>
              <w:t>9</w:t>
            </w:r>
          </w:p>
        </w:tc>
        <w:tc>
          <w:tcPr>
            <w:tcW w:w="8818" w:type="dxa"/>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按照谈判文件的规定和金额签订合同；合同约定其他条款以发包人拟定为准。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pacing w:val="70"/>
                <w:sz w:val="24"/>
                <w14:textFill>
                  <w14:solidFill>
                    <w14:schemeClr w14:val="tx1"/>
                  </w14:solidFill>
                </w14:textFill>
              </w:rPr>
              <w:t>2.2</w:t>
            </w:r>
            <w:r>
              <w:rPr>
                <w:rFonts w:hint="eastAsia" w:ascii="仿宋" w:hAnsi="仿宋" w:eastAsia="仿宋"/>
                <w:b/>
                <w:color w:val="000000" w:themeColor="text1"/>
                <w:spacing w:val="-3"/>
                <w:sz w:val="24"/>
                <w14:textFill>
                  <w14:solidFill>
                    <w14:schemeClr w14:val="tx1"/>
                  </w14:solidFill>
                </w14:textFill>
              </w:rPr>
              <w:t>1</w:t>
            </w:r>
          </w:p>
        </w:tc>
        <w:tc>
          <w:tcPr>
            <w:tcW w:w="8818" w:type="dxa"/>
            <w:tcBorders>
              <w:top w:val="single" w:color="auto" w:sz="4" w:space="0"/>
              <w:left w:val="single" w:color="auto" w:sz="4" w:space="0"/>
              <w:bottom w:val="single" w:color="auto" w:sz="4" w:space="0"/>
            </w:tcBorders>
            <w:vAlign w:val="center"/>
          </w:tcPr>
          <w:p>
            <w:pPr>
              <w:spacing w:line="36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付款方式</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审计报告完成且合格后付清全款。</w:t>
            </w:r>
          </w:p>
          <w:p>
            <w:pPr>
              <w:pStyle w:val="2"/>
              <w:ind w:left="0" w:leftChars="0" w:firstLine="0" w:firstLineChars="0"/>
            </w:pPr>
            <w:r>
              <w:rPr>
                <w:rFonts w:hint="eastAsia" w:ascii="仿宋" w:hAnsi="仿宋" w:eastAsia="仿宋" w:cs="仿宋"/>
                <w:sz w:val="28"/>
                <w:szCs w:val="28"/>
              </w:rPr>
              <w:t>注：由</w:t>
            </w:r>
            <w:r>
              <w:rPr>
                <w:rFonts w:hint="eastAsia" w:ascii="仿宋" w:hAnsi="仿宋" w:eastAsia="仿宋" w:cs="仿宋"/>
                <w:sz w:val="28"/>
                <w:szCs w:val="28"/>
                <w:lang w:val="en-US" w:eastAsia="zh-CN"/>
              </w:rPr>
              <w:t>中标人</w:t>
            </w:r>
            <w:r>
              <w:rPr>
                <w:rFonts w:hint="eastAsia" w:ascii="仿宋" w:hAnsi="仿宋" w:eastAsia="仿宋" w:cs="仿宋"/>
                <w:sz w:val="28"/>
                <w:szCs w:val="28"/>
              </w:rPr>
              <w:t>开具</w:t>
            </w:r>
            <w:r>
              <w:rPr>
                <w:rFonts w:hint="eastAsia" w:ascii="仿宋" w:hAnsi="仿宋" w:eastAsia="仿宋" w:cs="仿宋"/>
                <w:b/>
                <w:bCs/>
                <w:color w:val="FF0000"/>
                <w:sz w:val="28"/>
                <w:szCs w:val="28"/>
                <w:lang w:eastAsia="zh-CN"/>
              </w:rPr>
              <w:t>增值税专用发票</w:t>
            </w:r>
            <w:r>
              <w:rPr>
                <w:rFonts w:hint="eastAsia" w:ascii="仿宋" w:hAnsi="仿宋" w:eastAsia="仿宋" w:cs="仿宋"/>
                <w:sz w:val="28"/>
                <w:szCs w:val="28"/>
              </w:rPr>
              <w:t>，未提供</w:t>
            </w:r>
            <w:r>
              <w:rPr>
                <w:rFonts w:hint="eastAsia" w:ascii="仿宋" w:hAnsi="仿宋" w:eastAsia="仿宋" w:cs="仿宋"/>
                <w:sz w:val="28"/>
                <w:szCs w:val="28"/>
                <w:lang w:eastAsia="zh-CN"/>
              </w:rPr>
              <w:t>增值税专用发票</w:t>
            </w:r>
            <w:r>
              <w:rPr>
                <w:rFonts w:hint="eastAsia" w:ascii="仿宋" w:hAnsi="仿宋" w:eastAsia="仿宋" w:cs="仿宋"/>
                <w:sz w:val="28"/>
                <w:szCs w:val="28"/>
              </w:rPr>
              <w:t>的发包人拒绝支付。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”号的条款为“实质性要求”条款，投标文件对这些条款的任何负偏离将视为没有对竞争性谈判文件的实质性要求做出响应，将被认定为无效投标。</w:t>
      </w:r>
    </w:p>
    <w:p>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投标人对本文件（全册）有异议或需要澄清，必须以书面形式于规定时间内报送招标人。投标人当以书面</w:t>
      </w:r>
      <w:r>
        <w:rPr>
          <w:rFonts w:hint="eastAsia" w:ascii="仿宋" w:hAnsi="仿宋" w:eastAsia="仿宋"/>
          <w:sz w:val="28"/>
          <w:szCs w:val="28"/>
          <w:highlight w:val="none"/>
        </w:rPr>
        <w:t>形式于202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 xml:space="preserve"> 2 </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 xml:space="preserve"> 28 </w:t>
      </w:r>
      <w:r>
        <w:rPr>
          <w:rFonts w:hint="eastAsia" w:ascii="仿宋" w:hAnsi="仿宋" w:eastAsia="仿宋"/>
          <w:sz w:val="28"/>
          <w:szCs w:val="28"/>
          <w:highlight w:val="none"/>
        </w:rPr>
        <w:t>日1</w:t>
      </w:r>
      <w:r>
        <w:rPr>
          <w:rFonts w:hint="eastAsia" w:ascii="仿宋" w:hAnsi="仿宋" w:eastAsia="仿宋"/>
          <w:sz w:val="28"/>
          <w:szCs w:val="28"/>
          <w:highlight w:val="none"/>
          <w:lang w:val="en-US" w:eastAsia="zh-CN"/>
        </w:rPr>
        <w:t>0</w:t>
      </w:r>
      <w:r>
        <w:rPr>
          <w:rFonts w:hint="eastAsia" w:ascii="仿宋" w:hAnsi="仿宋" w:eastAsia="仿宋"/>
          <w:sz w:val="28"/>
          <w:szCs w:val="28"/>
          <w:highlight w:val="none"/>
        </w:rPr>
        <w:t>：00之前报</w:t>
      </w:r>
      <w:r>
        <w:rPr>
          <w:rFonts w:hint="eastAsia" w:ascii="仿宋" w:hAnsi="仿宋" w:eastAsia="仿宋"/>
          <w:sz w:val="28"/>
          <w:szCs w:val="28"/>
        </w:rPr>
        <w:t>送招标人。</w:t>
      </w:r>
    </w:p>
    <w:p>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pPr>
        <w:pStyle w:val="12"/>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12"/>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12"/>
        <w:spacing w:line="480" w:lineRule="exact"/>
        <w:ind w:left="369"/>
        <w:rPr>
          <w:rFonts w:hint="default" w:ascii="仿宋" w:hAnsi="仿宋" w:eastAsia="仿宋"/>
          <w:bCs/>
          <w:color w:val="0D0D0D"/>
          <w:spacing w:val="-10"/>
          <w:sz w:val="32"/>
          <w:szCs w:val="32"/>
          <w:lang w:val="en-US" w:eastAsia="zh-CN"/>
        </w:rPr>
      </w:pPr>
      <w:r>
        <w:rPr>
          <w:rFonts w:hint="eastAsia" w:ascii="仿宋" w:hAnsi="仿宋" w:eastAsia="仿宋"/>
          <w:bCs/>
          <w:color w:val="0D0D0D"/>
          <w:spacing w:val="-10"/>
          <w:sz w:val="32"/>
          <w:szCs w:val="32"/>
          <w:lang w:val="en-US" w:eastAsia="zh-CN"/>
        </w:rPr>
        <w:t>3、相关资质文件</w:t>
      </w:r>
    </w:p>
    <w:p>
      <w:pPr>
        <w:pStyle w:val="12"/>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ind w:left="0" w:leftChars="0" w:firstLine="0" w:firstLineChars="0"/>
        <w:rPr>
          <w:rFonts w:ascii="仿宋" w:hAnsi="仿宋" w:eastAsia="仿宋"/>
          <w:b/>
          <w:sz w:val="32"/>
        </w:rPr>
      </w:pPr>
    </w:p>
    <w:p>
      <w:pPr>
        <w:pStyle w:val="2"/>
        <w:rPr>
          <w:rFonts w:ascii="仿宋" w:hAnsi="仿宋" w:eastAsia="仿宋"/>
          <w:b/>
          <w:sz w:val="32"/>
        </w:rPr>
      </w:pPr>
    </w:p>
    <w:p>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pPr>
        <w:rPr>
          <w:rFonts w:hint="eastAsia" w:ascii="仿宋" w:hAnsi="仿宋" w:eastAsia="仿宋"/>
          <w:b/>
          <w:sz w:val="32"/>
          <w:szCs w:val="32"/>
        </w:rPr>
      </w:pPr>
      <w:r>
        <w:rPr>
          <w:rFonts w:hint="eastAsia" w:ascii="仿宋" w:hAnsi="仿宋" w:eastAsia="仿宋"/>
          <w:b/>
          <w:sz w:val="32"/>
          <w:szCs w:val="32"/>
        </w:rPr>
        <w:t>附件</w:t>
      </w:r>
      <w:r>
        <w:rPr>
          <w:rFonts w:hint="eastAsia" w:ascii="仿宋" w:hAnsi="仿宋" w:eastAsia="仿宋"/>
          <w:b/>
          <w:sz w:val="32"/>
          <w:szCs w:val="32"/>
          <w:lang w:val="en-US" w:eastAsia="zh-CN"/>
        </w:rPr>
        <w:t>2  需求清单</w:t>
      </w:r>
      <w:r>
        <w:rPr>
          <w:rFonts w:hint="eastAsia" w:ascii="仿宋" w:hAnsi="仿宋" w:eastAsia="仿宋"/>
          <w:b/>
          <w:sz w:val="32"/>
          <w:szCs w:val="32"/>
        </w:rPr>
        <w:t>：</w:t>
      </w:r>
    </w:p>
    <w:p>
      <w:pPr>
        <w:pStyle w:val="2"/>
        <w:rPr>
          <w:rFonts w:hint="eastAsia"/>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5010"/>
        <w:gridCol w:w="3000"/>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bidi w:val="0"/>
              <w:jc w:val="center"/>
              <w:rPr>
                <w:rFonts w:hint="eastAsia"/>
                <w:sz w:val="24"/>
                <w:szCs w:val="24"/>
                <w:lang w:val="en-US" w:eastAsia="zh-CN"/>
              </w:rPr>
            </w:pPr>
            <w:r>
              <w:rPr>
                <w:rFonts w:hint="eastAsia"/>
                <w:sz w:val="24"/>
                <w:szCs w:val="24"/>
                <w:lang w:val="en-US" w:eastAsia="zh-CN"/>
              </w:rPr>
              <w:t>序号</w:t>
            </w:r>
          </w:p>
        </w:tc>
        <w:tc>
          <w:tcPr>
            <w:tcW w:w="5010" w:type="dxa"/>
            <w:vAlign w:val="center"/>
          </w:tcPr>
          <w:p>
            <w:pPr>
              <w:bidi w:val="0"/>
              <w:jc w:val="center"/>
              <w:rPr>
                <w:rFonts w:hint="eastAsia"/>
                <w:sz w:val="24"/>
                <w:szCs w:val="24"/>
                <w:lang w:val="en-US" w:eastAsia="zh-CN"/>
              </w:rPr>
            </w:pPr>
            <w:r>
              <w:rPr>
                <w:rFonts w:hint="eastAsia"/>
                <w:sz w:val="24"/>
                <w:szCs w:val="24"/>
                <w:lang w:val="en-US" w:eastAsia="zh-CN"/>
              </w:rPr>
              <w:t>公司名称</w:t>
            </w:r>
          </w:p>
        </w:tc>
        <w:tc>
          <w:tcPr>
            <w:tcW w:w="3000" w:type="dxa"/>
            <w:vAlign w:val="center"/>
          </w:tcPr>
          <w:p>
            <w:pPr>
              <w:bidi w:val="0"/>
              <w:jc w:val="center"/>
              <w:rPr>
                <w:rFonts w:hint="default"/>
                <w:sz w:val="24"/>
                <w:szCs w:val="24"/>
                <w:lang w:val="en-US" w:eastAsia="zh-CN"/>
              </w:rPr>
            </w:pPr>
            <w:r>
              <w:rPr>
                <w:rFonts w:hint="eastAsia"/>
                <w:sz w:val="24"/>
                <w:szCs w:val="24"/>
                <w:lang w:val="en-US" w:eastAsia="zh-CN"/>
              </w:rPr>
              <w:t>业务内容</w:t>
            </w:r>
          </w:p>
        </w:tc>
        <w:tc>
          <w:tcPr>
            <w:tcW w:w="849" w:type="dxa"/>
            <w:vAlign w:val="center"/>
          </w:tcPr>
          <w:p>
            <w:pPr>
              <w:bidi w:val="0"/>
              <w:jc w:val="center"/>
              <w:rPr>
                <w:rFonts w:hint="eastAsia"/>
                <w:sz w:val="24"/>
                <w:szCs w:val="24"/>
                <w:lang w:val="en-US" w:eastAsia="zh-CN"/>
              </w:rPr>
            </w:pPr>
            <w:r>
              <w:rPr>
                <w:rFonts w:hint="eastAsia"/>
                <w:sz w:val="24"/>
                <w:szCs w:val="24"/>
                <w:lang w:val="en-US" w:eastAsia="zh-CN"/>
              </w:rPr>
              <w:t>备注</w:t>
            </w:r>
          </w:p>
        </w:tc>
      </w:tr>
      <w:tr>
        <w:tblPrEx>
          <w:tblCellMar>
            <w:top w:w="0" w:type="dxa"/>
            <w:left w:w="108" w:type="dxa"/>
            <w:bottom w:w="0" w:type="dxa"/>
            <w:right w:w="108" w:type="dxa"/>
          </w:tblCellMar>
        </w:tblPrEx>
        <w:tc>
          <w:tcPr>
            <w:tcW w:w="713" w:type="dxa"/>
            <w:vAlign w:val="center"/>
          </w:tcPr>
          <w:p>
            <w:pPr>
              <w:bidi w:val="0"/>
              <w:jc w:val="center"/>
              <w:rPr>
                <w:rFonts w:hint="eastAsia"/>
                <w:sz w:val="24"/>
                <w:szCs w:val="24"/>
                <w:lang w:val="en-US" w:eastAsia="zh-CN"/>
              </w:rPr>
            </w:pPr>
            <w:r>
              <w:rPr>
                <w:rFonts w:hint="eastAsia"/>
                <w:sz w:val="24"/>
                <w:szCs w:val="24"/>
                <w:lang w:val="en-US" w:eastAsia="zh-CN"/>
              </w:rPr>
              <w:t>1</w:t>
            </w:r>
          </w:p>
        </w:tc>
        <w:tc>
          <w:tcPr>
            <w:tcW w:w="5010" w:type="dxa"/>
            <w:vAlign w:val="center"/>
          </w:tcPr>
          <w:p>
            <w:pPr>
              <w:bidi w:val="0"/>
              <w:jc w:val="center"/>
              <w:rPr>
                <w:rFonts w:hint="eastAsia" w:eastAsia="宋体"/>
                <w:sz w:val="24"/>
                <w:szCs w:val="24"/>
                <w:lang w:val="en-US" w:eastAsia="zh-CN"/>
              </w:rPr>
            </w:pPr>
            <w:r>
              <w:rPr>
                <w:rFonts w:hint="eastAsia"/>
                <w:sz w:val="24"/>
                <w:szCs w:val="24"/>
                <w:lang w:val="en-US" w:eastAsia="zh-CN"/>
              </w:rPr>
              <w:t>江苏润城资产经营集团有限公司</w:t>
            </w:r>
          </w:p>
        </w:tc>
        <w:tc>
          <w:tcPr>
            <w:tcW w:w="3000" w:type="dxa"/>
            <w:vAlign w:val="center"/>
          </w:tcPr>
          <w:p>
            <w:pPr>
              <w:bidi w:val="0"/>
              <w:jc w:val="center"/>
              <w:rPr>
                <w:rFonts w:hint="default"/>
                <w:sz w:val="24"/>
                <w:szCs w:val="24"/>
                <w:lang w:val="en-US" w:eastAsia="zh-CN"/>
              </w:rPr>
            </w:pPr>
            <w:r>
              <w:rPr>
                <w:rFonts w:hint="eastAsia"/>
                <w:sz w:val="24"/>
                <w:szCs w:val="24"/>
                <w:lang w:val="en-US" w:eastAsia="zh-CN"/>
              </w:rPr>
              <w:t>年报</w:t>
            </w:r>
          </w:p>
        </w:tc>
        <w:tc>
          <w:tcPr>
            <w:tcW w:w="849" w:type="dxa"/>
            <w:vAlign w:val="center"/>
          </w:tcPr>
          <w:p>
            <w:pPr>
              <w:bidi w:val="0"/>
              <w:jc w:val="center"/>
              <w:rPr>
                <w:rFonts w:hint="eastAsia"/>
                <w:sz w:val="24"/>
                <w:szCs w:val="24"/>
              </w:rPr>
            </w:pPr>
          </w:p>
        </w:tc>
      </w:tr>
      <w:tr>
        <w:tblPrEx>
          <w:tblCellMar>
            <w:top w:w="0" w:type="dxa"/>
            <w:left w:w="108" w:type="dxa"/>
            <w:bottom w:w="0" w:type="dxa"/>
            <w:right w:w="108" w:type="dxa"/>
          </w:tblCellMar>
        </w:tblPrEx>
        <w:tc>
          <w:tcPr>
            <w:tcW w:w="713" w:type="dxa"/>
            <w:vAlign w:val="center"/>
          </w:tcPr>
          <w:p>
            <w:pPr>
              <w:bidi w:val="0"/>
              <w:jc w:val="center"/>
              <w:rPr>
                <w:rFonts w:hint="eastAsia"/>
                <w:sz w:val="24"/>
                <w:szCs w:val="24"/>
                <w:lang w:val="en-US" w:eastAsia="zh-CN"/>
              </w:rPr>
            </w:pPr>
            <w:r>
              <w:rPr>
                <w:rFonts w:hint="eastAsia"/>
                <w:sz w:val="24"/>
                <w:szCs w:val="24"/>
                <w:lang w:val="en-US" w:eastAsia="zh-CN"/>
              </w:rPr>
              <w:t>2</w:t>
            </w:r>
          </w:p>
        </w:tc>
        <w:tc>
          <w:tcPr>
            <w:tcW w:w="5010" w:type="dxa"/>
            <w:vAlign w:val="center"/>
          </w:tcPr>
          <w:p>
            <w:pPr>
              <w:bidi w:val="0"/>
              <w:jc w:val="center"/>
              <w:rPr>
                <w:rFonts w:hint="default" w:eastAsia="宋体"/>
                <w:sz w:val="24"/>
                <w:szCs w:val="24"/>
                <w:lang w:val="en-US" w:eastAsia="zh-CN"/>
              </w:rPr>
            </w:pPr>
            <w:r>
              <w:rPr>
                <w:rFonts w:hint="eastAsia"/>
                <w:sz w:val="24"/>
                <w:szCs w:val="24"/>
                <w:lang w:val="en-US" w:eastAsia="zh-CN"/>
              </w:rPr>
              <w:t>江苏润城城市投资控股集团有限公司</w:t>
            </w:r>
          </w:p>
        </w:tc>
        <w:tc>
          <w:tcPr>
            <w:tcW w:w="3000" w:type="dxa"/>
            <w:vAlign w:val="center"/>
          </w:tcPr>
          <w:p>
            <w:pPr>
              <w:bidi w:val="0"/>
              <w:jc w:val="center"/>
              <w:rPr>
                <w:rFonts w:hint="eastAsia"/>
                <w:sz w:val="24"/>
                <w:szCs w:val="24"/>
              </w:rPr>
            </w:pPr>
            <w:r>
              <w:rPr>
                <w:rFonts w:hint="eastAsia"/>
                <w:sz w:val="24"/>
                <w:szCs w:val="24"/>
                <w:lang w:val="en-US" w:eastAsia="zh-CN"/>
              </w:rPr>
              <w:t>年报</w:t>
            </w:r>
          </w:p>
        </w:tc>
        <w:tc>
          <w:tcPr>
            <w:tcW w:w="849" w:type="dxa"/>
            <w:vAlign w:val="center"/>
          </w:tcPr>
          <w:p>
            <w:pPr>
              <w:bidi w:val="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bidi w:val="0"/>
              <w:jc w:val="center"/>
              <w:rPr>
                <w:rFonts w:hint="eastAsia"/>
                <w:sz w:val="24"/>
                <w:szCs w:val="24"/>
                <w:lang w:val="en-US" w:eastAsia="zh-CN"/>
              </w:rPr>
            </w:pPr>
            <w:r>
              <w:rPr>
                <w:rFonts w:hint="eastAsia"/>
                <w:sz w:val="24"/>
                <w:szCs w:val="24"/>
                <w:lang w:val="en-US" w:eastAsia="zh-CN"/>
              </w:rPr>
              <w:t>3</w:t>
            </w:r>
          </w:p>
        </w:tc>
        <w:tc>
          <w:tcPr>
            <w:tcW w:w="5010" w:type="dxa"/>
            <w:vAlign w:val="center"/>
          </w:tcPr>
          <w:p>
            <w:pPr>
              <w:bidi w:val="0"/>
              <w:jc w:val="center"/>
              <w:rPr>
                <w:rFonts w:hint="default" w:eastAsia="宋体"/>
                <w:sz w:val="24"/>
                <w:szCs w:val="24"/>
                <w:lang w:val="en-US" w:eastAsia="zh-CN"/>
              </w:rPr>
            </w:pPr>
            <w:r>
              <w:rPr>
                <w:rFonts w:hint="eastAsia"/>
                <w:sz w:val="24"/>
                <w:szCs w:val="24"/>
                <w:lang w:val="en-US" w:eastAsia="zh-CN"/>
              </w:rPr>
              <w:t>邳州市润田建设有限公司</w:t>
            </w:r>
          </w:p>
        </w:tc>
        <w:tc>
          <w:tcPr>
            <w:tcW w:w="3000" w:type="dxa"/>
            <w:vAlign w:val="center"/>
          </w:tcPr>
          <w:p>
            <w:pPr>
              <w:bidi w:val="0"/>
              <w:jc w:val="center"/>
              <w:rPr>
                <w:rFonts w:hint="eastAsia"/>
                <w:sz w:val="24"/>
                <w:szCs w:val="24"/>
              </w:rPr>
            </w:pPr>
            <w:r>
              <w:rPr>
                <w:rFonts w:hint="eastAsia"/>
                <w:sz w:val="24"/>
                <w:szCs w:val="24"/>
                <w:lang w:val="en-US" w:eastAsia="zh-CN"/>
              </w:rPr>
              <w:t>年报</w:t>
            </w:r>
          </w:p>
        </w:tc>
        <w:tc>
          <w:tcPr>
            <w:tcW w:w="849" w:type="dxa"/>
            <w:vAlign w:val="center"/>
          </w:tcPr>
          <w:p>
            <w:pPr>
              <w:bidi w:val="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bidi w:val="0"/>
              <w:jc w:val="center"/>
              <w:rPr>
                <w:rFonts w:hint="eastAsia"/>
                <w:sz w:val="24"/>
                <w:szCs w:val="24"/>
                <w:lang w:val="en-US" w:eastAsia="zh-CN"/>
              </w:rPr>
            </w:pPr>
            <w:r>
              <w:rPr>
                <w:rFonts w:hint="eastAsia"/>
                <w:sz w:val="24"/>
                <w:szCs w:val="24"/>
                <w:lang w:val="en-US" w:eastAsia="zh-CN"/>
              </w:rPr>
              <w:t>4</w:t>
            </w:r>
          </w:p>
        </w:tc>
        <w:tc>
          <w:tcPr>
            <w:tcW w:w="5010" w:type="dxa"/>
            <w:vAlign w:val="center"/>
          </w:tcPr>
          <w:p>
            <w:pPr>
              <w:bidi w:val="0"/>
              <w:jc w:val="center"/>
              <w:rPr>
                <w:rFonts w:hint="default" w:eastAsia="宋体"/>
                <w:sz w:val="24"/>
                <w:szCs w:val="24"/>
                <w:lang w:val="en-US" w:eastAsia="zh-CN"/>
              </w:rPr>
            </w:pPr>
            <w:r>
              <w:rPr>
                <w:rFonts w:hint="eastAsia"/>
                <w:sz w:val="24"/>
                <w:szCs w:val="24"/>
                <w:lang w:val="en-US" w:eastAsia="zh-CN"/>
              </w:rPr>
              <w:t>江苏润城城市投资控股集团有限公司</w:t>
            </w:r>
          </w:p>
        </w:tc>
        <w:tc>
          <w:tcPr>
            <w:tcW w:w="3000" w:type="dxa"/>
            <w:vAlign w:val="center"/>
          </w:tcPr>
          <w:p>
            <w:pPr>
              <w:bidi w:val="0"/>
              <w:jc w:val="center"/>
              <w:rPr>
                <w:rFonts w:hint="default" w:eastAsia="宋体"/>
                <w:sz w:val="24"/>
                <w:szCs w:val="24"/>
                <w:lang w:val="en-US" w:eastAsia="zh-CN"/>
              </w:rPr>
            </w:pPr>
            <w:r>
              <w:rPr>
                <w:rFonts w:hint="eastAsia"/>
                <w:sz w:val="24"/>
                <w:szCs w:val="24"/>
                <w:lang w:val="en-US" w:eastAsia="zh-CN"/>
              </w:rPr>
              <w:t>代编三个季度报表</w:t>
            </w:r>
          </w:p>
        </w:tc>
        <w:tc>
          <w:tcPr>
            <w:tcW w:w="849" w:type="dxa"/>
            <w:vAlign w:val="center"/>
          </w:tcPr>
          <w:p>
            <w:pPr>
              <w:bidi w:val="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bidi w:val="0"/>
              <w:jc w:val="center"/>
              <w:rPr>
                <w:rFonts w:hint="eastAsia"/>
                <w:sz w:val="24"/>
                <w:szCs w:val="24"/>
                <w:lang w:val="en-US" w:eastAsia="zh-CN"/>
              </w:rPr>
            </w:pPr>
            <w:r>
              <w:rPr>
                <w:rFonts w:hint="eastAsia"/>
                <w:sz w:val="24"/>
                <w:szCs w:val="24"/>
                <w:lang w:val="en-US" w:eastAsia="zh-CN"/>
              </w:rPr>
              <w:t>5</w:t>
            </w:r>
          </w:p>
        </w:tc>
        <w:tc>
          <w:tcPr>
            <w:tcW w:w="5010" w:type="dxa"/>
            <w:vAlign w:val="center"/>
          </w:tcPr>
          <w:p>
            <w:pPr>
              <w:bidi w:val="0"/>
              <w:jc w:val="center"/>
              <w:rPr>
                <w:rFonts w:hint="default" w:eastAsia="宋体"/>
                <w:sz w:val="24"/>
                <w:szCs w:val="24"/>
                <w:lang w:val="en-US" w:eastAsia="zh-CN"/>
              </w:rPr>
            </w:pPr>
            <w:r>
              <w:rPr>
                <w:rFonts w:hint="eastAsia"/>
                <w:sz w:val="24"/>
                <w:szCs w:val="24"/>
                <w:lang w:val="en-US" w:eastAsia="zh-CN"/>
              </w:rPr>
              <w:t>邳州市恒润城市投资有限公司</w:t>
            </w:r>
          </w:p>
        </w:tc>
        <w:tc>
          <w:tcPr>
            <w:tcW w:w="3000" w:type="dxa"/>
            <w:vAlign w:val="center"/>
          </w:tcPr>
          <w:p>
            <w:pPr>
              <w:bidi w:val="0"/>
              <w:jc w:val="center"/>
              <w:rPr>
                <w:rFonts w:hint="default" w:eastAsia="宋体"/>
                <w:sz w:val="24"/>
                <w:szCs w:val="24"/>
                <w:lang w:val="en-US" w:eastAsia="zh-CN"/>
              </w:rPr>
            </w:pPr>
            <w:r>
              <w:rPr>
                <w:rFonts w:hint="eastAsia"/>
                <w:sz w:val="24"/>
                <w:szCs w:val="24"/>
                <w:lang w:val="en-US" w:eastAsia="zh-CN"/>
              </w:rPr>
              <w:t>年报及代编三个季度报表</w:t>
            </w:r>
          </w:p>
        </w:tc>
        <w:tc>
          <w:tcPr>
            <w:tcW w:w="849" w:type="dxa"/>
            <w:vAlign w:val="center"/>
          </w:tcPr>
          <w:p>
            <w:pPr>
              <w:bidi w:val="0"/>
              <w:jc w:val="center"/>
              <w:rPr>
                <w:rFonts w:hint="eastAsia"/>
                <w:sz w:val="24"/>
                <w:szCs w:val="24"/>
              </w:rPr>
            </w:pPr>
          </w:p>
        </w:tc>
      </w:tr>
    </w:tbl>
    <w:p>
      <w:pPr>
        <w:rPr>
          <w:rFonts w:hint="eastAsia" w:ascii="仿宋" w:hAnsi="仿宋" w:eastAsia="仿宋"/>
          <w:b/>
          <w:sz w:val="32"/>
          <w:szCs w:val="32"/>
        </w:rPr>
      </w:pPr>
      <w:r>
        <w:rPr>
          <w:rFonts w:hint="eastAsia" w:ascii="仿宋" w:hAnsi="仿宋" w:eastAsia="仿宋"/>
          <w:b/>
          <w:sz w:val="32"/>
          <w:szCs w:val="32"/>
        </w:rPr>
        <w:br w:type="page"/>
      </w:r>
    </w:p>
    <w:p>
      <w:pPr>
        <w:rPr>
          <w:rFonts w:hint="default" w:ascii="仿宋" w:hAnsi="仿宋" w:eastAsia="仿宋"/>
          <w:b/>
          <w:sz w:val="32"/>
          <w:szCs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3  评标要素及评分标准</w:t>
      </w:r>
    </w:p>
    <w:p>
      <w:pPr>
        <w:pStyle w:val="11"/>
        <w:jc w:val="center"/>
        <w:rPr>
          <w:rFonts w:hint="eastAsia" w:ascii="仿宋" w:hAnsi="仿宋" w:eastAsia="仿宋" w:cs="仿宋"/>
          <w:b/>
          <w:i w:val="0"/>
          <w:caps w:val="0"/>
          <w:color w:val="222222"/>
          <w:spacing w:val="8"/>
          <w:sz w:val="44"/>
          <w:szCs w:val="44"/>
          <w:shd w:val="clear" w:fill="FFFFFF"/>
          <w:lang w:val="en-US" w:eastAsia="zh-CN"/>
        </w:rPr>
      </w:pPr>
      <w:r>
        <w:rPr>
          <w:rFonts w:hint="eastAsia" w:ascii="仿宋" w:hAnsi="仿宋" w:eastAsia="仿宋"/>
          <w:b/>
          <w:sz w:val="44"/>
          <w:szCs w:val="44"/>
          <w:lang w:val="en-US" w:eastAsia="zh-CN"/>
        </w:rPr>
        <w:t>评标要素及评分标准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185"/>
        <w:gridCol w:w="1560"/>
        <w:gridCol w:w="4950"/>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84" w:type="dxa"/>
            <w:vAlign w:val="center"/>
          </w:tcPr>
          <w:p>
            <w:pPr>
              <w:jc w:val="center"/>
              <w:rPr>
                <w:rFonts w:hint="eastAsia" w:eastAsia="宋体"/>
                <w:vertAlign w:val="baseline"/>
                <w:lang w:val="en-US" w:eastAsia="zh-CN"/>
              </w:rPr>
            </w:pPr>
            <w:r>
              <w:rPr>
                <w:rFonts w:hint="eastAsia"/>
                <w:vertAlign w:val="baseline"/>
                <w:lang w:val="en-US" w:eastAsia="zh-CN"/>
              </w:rPr>
              <w:t>序号</w:t>
            </w:r>
          </w:p>
        </w:tc>
        <w:tc>
          <w:tcPr>
            <w:tcW w:w="1185" w:type="dxa"/>
            <w:vAlign w:val="center"/>
          </w:tcPr>
          <w:p>
            <w:pPr>
              <w:jc w:val="center"/>
              <w:rPr>
                <w:rFonts w:hint="eastAsia" w:eastAsia="宋体"/>
                <w:vertAlign w:val="baseline"/>
                <w:lang w:val="en-US" w:eastAsia="zh-CN"/>
              </w:rPr>
            </w:pPr>
            <w:r>
              <w:rPr>
                <w:rFonts w:hint="eastAsia"/>
                <w:vertAlign w:val="baseline"/>
                <w:lang w:val="en-US" w:eastAsia="zh-CN"/>
              </w:rPr>
              <w:t>评分大类</w:t>
            </w:r>
          </w:p>
        </w:tc>
        <w:tc>
          <w:tcPr>
            <w:tcW w:w="1560" w:type="dxa"/>
            <w:vAlign w:val="center"/>
          </w:tcPr>
          <w:p>
            <w:pPr>
              <w:jc w:val="center"/>
              <w:rPr>
                <w:rFonts w:hint="eastAsia" w:eastAsia="宋体"/>
                <w:vertAlign w:val="baseline"/>
                <w:lang w:val="en-US" w:eastAsia="zh-CN"/>
              </w:rPr>
            </w:pPr>
            <w:r>
              <w:rPr>
                <w:rFonts w:hint="eastAsia"/>
                <w:vertAlign w:val="baseline"/>
                <w:lang w:val="en-US" w:eastAsia="zh-CN"/>
              </w:rPr>
              <w:t>评分项</w:t>
            </w:r>
          </w:p>
        </w:tc>
        <w:tc>
          <w:tcPr>
            <w:tcW w:w="4950" w:type="dxa"/>
            <w:vAlign w:val="center"/>
          </w:tcPr>
          <w:p>
            <w:pPr>
              <w:jc w:val="center"/>
              <w:rPr>
                <w:rFonts w:hint="default" w:eastAsia="宋体"/>
                <w:vertAlign w:val="baseline"/>
                <w:lang w:val="en-US" w:eastAsia="zh-CN"/>
              </w:rPr>
            </w:pPr>
            <w:r>
              <w:rPr>
                <w:rFonts w:hint="eastAsia"/>
                <w:vertAlign w:val="baseline"/>
                <w:lang w:val="en-US" w:eastAsia="zh-CN"/>
              </w:rPr>
              <w:t>评标内容</w:t>
            </w:r>
          </w:p>
        </w:tc>
        <w:tc>
          <w:tcPr>
            <w:tcW w:w="1093" w:type="dxa"/>
            <w:vAlign w:val="center"/>
          </w:tcPr>
          <w:p>
            <w:pPr>
              <w:jc w:val="center"/>
              <w:rPr>
                <w:rFonts w:hint="default" w:eastAsia="宋体"/>
                <w:vertAlign w:val="baseline"/>
                <w:lang w:val="en-US" w:eastAsia="zh-CN"/>
              </w:rPr>
            </w:pPr>
            <w:r>
              <w:rPr>
                <w:rFonts w:hint="eastAsia"/>
                <w:vertAlign w:val="baseline"/>
                <w:lang w:val="en-US" w:eastAsia="zh-CN"/>
              </w:rPr>
              <w:t>权重分值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Merge w:val="restart"/>
            <w:vAlign w:val="center"/>
          </w:tcPr>
          <w:p>
            <w:pPr>
              <w:jc w:val="center"/>
              <w:rPr>
                <w:rFonts w:hint="eastAsia" w:eastAsia="宋体"/>
                <w:vertAlign w:val="baseline"/>
                <w:lang w:val="en-US" w:eastAsia="zh-CN"/>
              </w:rPr>
            </w:pPr>
            <w:r>
              <w:rPr>
                <w:rFonts w:hint="eastAsia"/>
                <w:vertAlign w:val="baseline"/>
                <w:lang w:val="en-US" w:eastAsia="zh-CN"/>
              </w:rPr>
              <w:t>1</w:t>
            </w:r>
          </w:p>
        </w:tc>
        <w:tc>
          <w:tcPr>
            <w:tcW w:w="1185" w:type="dxa"/>
            <w:vMerge w:val="restart"/>
            <w:vAlign w:val="center"/>
          </w:tcPr>
          <w:p>
            <w:pPr>
              <w:jc w:val="center"/>
              <w:rPr>
                <w:rFonts w:hint="default" w:eastAsia="宋体"/>
                <w:vertAlign w:val="baseline"/>
                <w:lang w:val="en-US" w:eastAsia="zh-CN"/>
              </w:rPr>
            </w:pPr>
            <w:r>
              <w:rPr>
                <w:rFonts w:hint="eastAsia"/>
                <w:vertAlign w:val="baseline"/>
                <w:lang w:val="en-US" w:eastAsia="zh-CN"/>
              </w:rPr>
              <w:t>会计师事务所情况</w:t>
            </w:r>
          </w:p>
        </w:tc>
        <w:tc>
          <w:tcPr>
            <w:tcW w:w="1560" w:type="dxa"/>
            <w:vAlign w:val="center"/>
          </w:tcPr>
          <w:p>
            <w:pPr>
              <w:jc w:val="center"/>
              <w:rPr>
                <w:rFonts w:hint="default" w:eastAsia="宋体"/>
                <w:vertAlign w:val="baseline"/>
                <w:lang w:val="en-US" w:eastAsia="zh-CN"/>
              </w:rPr>
            </w:pPr>
            <w:r>
              <w:rPr>
                <w:rFonts w:hint="eastAsia"/>
                <w:vertAlign w:val="baseline"/>
                <w:lang w:val="en-US" w:eastAsia="zh-CN"/>
              </w:rPr>
              <w:t>会计师事务所基本情况</w:t>
            </w:r>
          </w:p>
        </w:tc>
        <w:tc>
          <w:tcPr>
            <w:tcW w:w="4950" w:type="dxa"/>
          </w:tcPr>
          <w:p>
            <w:pPr>
              <w:rPr>
                <w:rFonts w:hint="default" w:eastAsia="宋体"/>
                <w:vertAlign w:val="baseline"/>
                <w:lang w:val="en-US" w:eastAsia="zh-CN"/>
              </w:rPr>
            </w:pPr>
            <w:r>
              <w:rPr>
                <w:rFonts w:hint="eastAsia"/>
                <w:vertAlign w:val="baseline"/>
                <w:lang w:val="en-US" w:eastAsia="zh-CN"/>
              </w:rPr>
              <w:t>结合事务所从业人员、开展业务等基本情况进行综合评分，满分15分。</w:t>
            </w:r>
          </w:p>
        </w:tc>
        <w:tc>
          <w:tcPr>
            <w:tcW w:w="1093" w:type="dxa"/>
            <w:vAlign w:val="center"/>
          </w:tcPr>
          <w:p>
            <w:pPr>
              <w:jc w:val="center"/>
              <w:rPr>
                <w:rFonts w:hint="default" w:eastAsia="宋体"/>
                <w:vertAlign w:val="baseline"/>
                <w:lang w:val="en-US" w:eastAsia="zh-CN"/>
              </w:rPr>
            </w:pPr>
            <w:r>
              <w:rPr>
                <w:rFonts w:hint="eastAsia"/>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Merge w:val="continue"/>
            <w:vAlign w:val="center"/>
          </w:tcPr>
          <w:p>
            <w:pPr>
              <w:jc w:val="center"/>
              <w:rPr>
                <w:vertAlign w:val="baseline"/>
              </w:rPr>
            </w:pPr>
          </w:p>
        </w:tc>
        <w:tc>
          <w:tcPr>
            <w:tcW w:w="1185" w:type="dxa"/>
            <w:vMerge w:val="continue"/>
            <w:vAlign w:val="center"/>
          </w:tcPr>
          <w:p>
            <w:pPr>
              <w:jc w:val="center"/>
              <w:rPr>
                <w:vertAlign w:val="baseline"/>
              </w:rPr>
            </w:pPr>
          </w:p>
        </w:tc>
        <w:tc>
          <w:tcPr>
            <w:tcW w:w="1560" w:type="dxa"/>
            <w:vMerge w:val="restart"/>
            <w:vAlign w:val="center"/>
          </w:tcPr>
          <w:p>
            <w:pPr>
              <w:jc w:val="center"/>
              <w:rPr>
                <w:rFonts w:hint="default"/>
                <w:vertAlign w:val="baseline"/>
                <w:lang w:val="en-US"/>
              </w:rPr>
            </w:pPr>
            <w:r>
              <w:rPr>
                <w:rFonts w:hint="eastAsia"/>
                <w:vertAlign w:val="baseline"/>
                <w:lang w:val="en-US" w:eastAsia="zh-CN"/>
              </w:rPr>
              <w:t>会计师事务所合作单位情况</w:t>
            </w:r>
          </w:p>
        </w:tc>
        <w:tc>
          <w:tcPr>
            <w:tcW w:w="4950" w:type="dxa"/>
          </w:tcPr>
          <w:p>
            <w:pPr>
              <w:rPr>
                <w:rFonts w:hint="eastAsia"/>
                <w:vertAlign w:val="baseline"/>
                <w:lang w:val="en-US" w:eastAsia="zh-CN"/>
              </w:rPr>
            </w:pPr>
            <w:r>
              <w:rPr>
                <w:rFonts w:hint="eastAsia"/>
                <w:vertAlign w:val="baseline"/>
                <w:lang w:val="en-US" w:eastAsia="zh-CN"/>
              </w:rPr>
              <w:t>①现正与其他国有平台公司合作相关事项每家3分，最高15分；</w:t>
            </w:r>
          </w:p>
          <w:p>
            <w:pPr>
              <w:pStyle w:val="2"/>
              <w:ind w:left="0" w:leftChars="0" w:firstLine="0" w:firstLineChars="0"/>
              <w:rPr>
                <w:rFonts w:hint="default"/>
                <w:lang w:val="en-US" w:eastAsia="zh-CN"/>
              </w:rPr>
            </w:pPr>
            <w:r>
              <w:rPr>
                <w:rFonts w:hint="eastAsia"/>
                <w:vertAlign w:val="baseline"/>
                <w:lang w:val="en-US" w:eastAsia="zh-CN"/>
              </w:rPr>
              <w:t>②2020年至今与其他知名企业合作专项审计，最高10分；</w:t>
            </w:r>
          </w:p>
        </w:tc>
        <w:tc>
          <w:tcPr>
            <w:tcW w:w="1093" w:type="dxa"/>
            <w:vMerge w:val="restart"/>
            <w:vAlign w:val="center"/>
          </w:tcPr>
          <w:p>
            <w:pPr>
              <w:jc w:val="center"/>
              <w:rPr>
                <w:rFonts w:hint="default" w:eastAsia="宋体"/>
                <w:vertAlign w:val="baseline"/>
                <w:lang w:val="en-US" w:eastAsia="zh-CN"/>
              </w:rPr>
            </w:pPr>
            <w:r>
              <w:rPr>
                <w:rFonts w:hint="eastAsia"/>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Merge w:val="continue"/>
            <w:vAlign w:val="center"/>
          </w:tcPr>
          <w:p>
            <w:pPr>
              <w:jc w:val="center"/>
              <w:rPr>
                <w:vertAlign w:val="baseline"/>
              </w:rPr>
            </w:pPr>
          </w:p>
        </w:tc>
        <w:tc>
          <w:tcPr>
            <w:tcW w:w="1185" w:type="dxa"/>
            <w:vMerge w:val="continue"/>
            <w:vAlign w:val="center"/>
          </w:tcPr>
          <w:p>
            <w:pPr>
              <w:jc w:val="center"/>
              <w:rPr>
                <w:vertAlign w:val="baseline"/>
              </w:rPr>
            </w:pPr>
          </w:p>
        </w:tc>
        <w:tc>
          <w:tcPr>
            <w:tcW w:w="1560" w:type="dxa"/>
            <w:vMerge w:val="continue"/>
            <w:vAlign w:val="center"/>
          </w:tcPr>
          <w:p>
            <w:pPr>
              <w:jc w:val="center"/>
              <w:rPr>
                <w:rFonts w:hint="eastAsia"/>
                <w:vertAlign w:val="baseline"/>
                <w:lang w:val="en-US" w:eastAsia="zh-CN"/>
              </w:rPr>
            </w:pPr>
          </w:p>
        </w:tc>
        <w:tc>
          <w:tcPr>
            <w:tcW w:w="4950" w:type="dxa"/>
          </w:tcPr>
          <w:p>
            <w:pPr>
              <w:pStyle w:val="2"/>
              <w:ind w:left="0" w:leftChars="0" w:firstLine="0" w:firstLineChars="0"/>
              <w:rPr>
                <w:rFonts w:hint="default"/>
                <w:vertAlign w:val="baseline"/>
                <w:lang w:val="en-US" w:eastAsia="zh-CN"/>
              </w:rPr>
            </w:pPr>
            <w:r>
              <w:rPr>
                <w:rFonts w:hint="eastAsia"/>
                <w:vertAlign w:val="baseline"/>
                <w:lang w:val="en-US" w:eastAsia="zh-CN"/>
              </w:rPr>
              <w:t>③证明材料：提供近期合作单位合同复印件并加盖公章。</w:t>
            </w:r>
          </w:p>
        </w:tc>
        <w:tc>
          <w:tcPr>
            <w:tcW w:w="1093"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784" w:type="dxa"/>
            <w:vMerge w:val="restart"/>
            <w:vAlign w:val="center"/>
          </w:tcPr>
          <w:p>
            <w:pPr>
              <w:jc w:val="center"/>
              <w:rPr>
                <w:rFonts w:hint="eastAsia" w:eastAsia="宋体"/>
                <w:vertAlign w:val="baseline"/>
                <w:lang w:val="en-US" w:eastAsia="zh-CN"/>
              </w:rPr>
            </w:pPr>
            <w:r>
              <w:rPr>
                <w:rFonts w:hint="eastAsia"/>
                <w:vertAlign w:val="baseline"/>
                <w:lang w:val="en-US" w:eastAsia="zh-CN"/>
              </w:rPr>
              <w:t>2</w:t>
            </w:r>
          </w:p>
        </w:tc>
        <w:tc>
          <w:tcPr>
            <w:tcW w:w="1185" w:type="dxa"/>
            <w:vMerge w:val="restart"/>
            <w:vAlign w:val="center"/>
          </w:tcPr>
          <w:p>
            <w:pPr>
              <w:jc w:val="center"/>
              <w:rPr>
                <w:rFonts w:hint="default" w:eastAsia="宋体"/>
                <w:vertAlign w:val="baseline"/>
                <w:lang w:val="en-US" w:eastAsia="zh-CN"/>
              </w:rPr>
            </w:pPr>
            <w:r>
              <w:rPr>
                <w:rFonts w:hint="eastAsia"/>
                <w:vertAlign w:val="baseline"/>
                <w:lang w:val="en-US" w:eastAsia="zh-CN"/>
              </w:rPr>
              <w:t>选派会计师团队情况</w:t>
            </w:r>
          </w:p>
        </w:tc>
        <w:tc>
          <w:tcPr>
            <w:tcW w:w="1560" w:type="dxa"/>
            <w:vAlign w:val="center"/>
          </w:tcPr>
          <w:p>
            <w:pPr>
              <w:jc w:val="center"/>
              <w:rPr>
                <w:rFonts w:hint="default"/>
                <w:vertAlign w:val="baseline"/>
                <w:lang w:val="en-US"/>
              </w:rPr>
            </w:pPr>
            <w:r>
              <w:rPr>
                <w:rFonts w:hint="eastAsia"/>
                <w:vertAlign w:val="baseline"/>
                <w:lang w:val="en-US" w:eastAsia="zh-CN"/>
              </w:rPr>
              <w:t>会计师事务所团队</w:t>
            </w:r>
          </w:p>
        </w:tc>
        <w:tc>
          <w:tcPr>
            <w:tcW w:w="4950" w:type="dxa"/>
          </w:tcPr>
          <w:p>
            <w:pPr>
              <w:rPr>
                <w:rFonts w:hint="eastAsia"/>
                <w:vertAlign w:val="baseline"/>
                <w:lang w:val="en-US" w:eastAsia="zh-CN"/>
              </w:rPr>
            </w:pPr>
            <w:r>
              <w:rPr>
                <w:rFonts w:hint="eastAsia"/>
                <w:vertAlign w:val="baseline"/>
                <w:lang w:val="en-US" w:eastAsia="zh-CN"/>
              </w:rPr>
              <w:t>根据参选会计事务所团队选派工作人员从业经验、团队人数等进行综合评分，最高15分；</w:t>
            </w:r>
          </w:p>
          <w:p>
            <w:pPr>
              <w:pStyle w:val="2"/>
              <w:ind w:left="0" w:leftChars="0" w:firstLine="0" w:firstLineChars="0"/>
              <w:rPr>
                <w:rFonts w:hint="default"/>
                <w:lang w:val="en-US" w:eastAsia="zh-CN"/>
              </w:rPr>
            </w:pPr>
            <w:r>
              <w:rPr>
                <w:rFonts w:hint="eastAsia"/>
                <w:vertAlign w:val="baseline"/>
                <w:lang w:val="en-US" w:eastAsia="zh-CN"/>
              </w:rPr>
              <w:t>证明文件：提交需安排工作人员、执行证复印件。</w:t>
            </w:r>
          </w:p>
        </w:tc>
        <w:tc>
          <w:tcPr>
            <w:tcW w:w="1093" w:type="dxa"/>
            <w:vAlign w:val="center"/>
          </w:tcPr>
          <w:p>
            <w:pPr>
              <w:jc w:val="center"/>
              <w:rPr>
                <w:rFonts w:hint="default" w:eastAsia="宋体"/>
                <w:vertAlign w:val="baseline"/>
                <w:lang w:val="en-US" w:eastAsia="zh-CN"/>
              </w:rPr>
            </w:pPr>
            <w:r>
              <w:rPr>
                <w:rFonts w:hint="eastAsia"/>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784" w:type="dxa"/>
            <w:vMerge w:val="continue"/>
            <w:vAlign w:val="center"/>
          </w:tcPr>
          <w:p>
            <w:pPr>
              <w:jc w:val="center"/>
              <w:rPr>
                <w:vertAlign w:val="baseline"/>
              </w:rPr>
            </w:pPr>
          </w:p>
        </w:tc>
        <w:tc>
          <w:tcPr>
            <w:tcW w:w="1185" w:type="dxa"/>
            <w:vMerge w:val="continue"/>
            <w:vAlign w:val="center"/>
          </w:tcPr>
          <w:p>
            <w:pPr>
              <w:jc w:val="center"/>
              <w:rPr>
                <w:vertAlign w:val="baseline"/>
              </w:rPr>
            </w:pPr>
          </w:p>
        </w:tc>
        <w:tc>
          <w:tcPr>
            <w:tcW w:w="1560" w:type="dxa"/>
            <w:vAlign w:val="center"/>
          </w:tcPr>
          <w:p>
            <w:pPr>
              <w:jc w:val="center"/>
              <w:rPr>
                <w:rFonts w:hint="default" w:eastAsia="宋体"/>
                <w:vertAlign w:val="baseline"/>
                <w:lang w:val="en-US" w:eastAsia="zh-CN"/>
              </w:rPr>
            </w:pPr>
            <w:r>
              <w:rPr>
                <w:rFonts w:hint="eastAsia"/>
                <w:vertAlign w:val="baseline"/>
                <w:lang w:val="en-US" w:eastAsia="zh-CN"/>
              </w:rPr>
              <w:t>选派会计师事务所团队擅长领域/业务专长</w:t>
            </w:r>
          </w:p>
        </w:tc>
        <w:tc>
          <w:tcPr>
            <w:tcW w:w="4950" w:type="dxa"/>
          </w:tcPr>
          <w:p>
            <w:pPr>
              <w:rPr>
                <w:rFonts w:hint="eastAsia"/>
                <w:vertAlign w:val="baseline"/>
                <w:lang w:val="en-US" w:eastAsia="zh-CN"/>
              </w:rPr>
            </w:pPr>
            <w:r>
              <w:rPr>
                <w:rFonts w:hint="eastAsia"/>
                <w:vertAlign w:val="baseline"/>
                <w:lang w:val="en-US" w:eastAsia="zh-CN"/>
              </w:rPr>
              <w:t>结合选派会计事务所团队擅长领域或业务专长与我司业务关联度进行综合评分，最高20分。</w:t>
            </w:r>
          </w:p>
          <w:p>
            <w:pPr>
              <w:pStyle w:val="2"/>
              <w:ind w:left="0" w:leftChars="0" w:firstLine="0" w:firstLineChars="0"/>
              <w:rPr>
                <w:rFonts w:hint="eastAsia"/>
                <w:vertAlign w:val="baseline"/>
                <w:lang w:val="en-US" w:eastAsia="zh-CN"/>
              </w:rPr>
            </w:pPr>
            <w:r>
              <w:rPr>
                <w:rFonts w:hint="eastAsia"/>
                <w:vertAlign w:val="baseline"/>
                <w:lang w:val="en-US" w:eastAsia="zh-CN"/>
              </w:rPr>
              <w:t>①关联性高：14-20分；</w:t>
            </w:r>
          </w:p>
          <w:p>
            <w:pPr>
              <w:pStyle w:val="2"/>
              <w:ind w:left="0" w:leftChars="0" w:firstLine="0" w:firstLineChars="0"/>
              <w:rPr>
                <w:rFonts w:hint="eastAsia"/>
                <w:vertAlign w:val="baseline"/>
                <w:lang w:val="en-US" w:eastAsia="zh-CN"/>
              </w:rPr>
            </w:pPr>
            <w:r>
              <w:rPr>
                <w:rFonts w:hint="eastAsia"/>
                <w:vertAlign w:val="baseline"/>
                <w:lang w:val="en-US" w:eastAsia="zh-CN"/>
              </w:rPr>
              <w:t>②关联性中：7-13分；</w:t>
            </w:r>
          </w:p>
          <w:p>
            <w:pPr>
              <w:pStyle w:val="2"/>
              <w:ind w:left="0" w:leftChars="0" w:firstLine="0" w:firstLineChars="0"/>
              <w:rPr>
                <w:rFonts w:hint="default"/>
                <w:vertAlign w:val="baseline"/>
                <w:lang w:val="en-US" w:eastAsia="zh-CN"/>
              </w:rPr>
            </w:pPr>
            <w:r>
              <w:rPr>
                <w:rFonts w:hint="eastAsia"/>
                <w:vertAlign w:val="baseline"/>
                <w:lang w:val="en-US" w:eastAsia="zh-CN"/>
              </w:rPr>
              <w:t>③关联性低：0-6分。</w:t>
            </w:r>
          </w:p>
        </w:tc>
        <w:tc>
          <w:tcPr>
            <w:tcW w:w="1093" w:type="dxa"/>
            <w:vAlign w:val="center"/>
          </w:tcPr>
          <w:p>
            <w:pPr>
              <w:jc w:val="center"/>
              <w:rPr>
                <w:rFonts w:hint="default" w:eastAsia="宋体"/>
                <w:vertAlign w:val="baseline"/>
                <w:lang w:val="en-US" w:eastAsia="zh-CN"/>
              </w:rPr>
            </w:pPr>
            <w:r>
              <w:rPr>
                <w:rFonts w:hint="eastAsia"/>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784" w:type="dxa"/>
            <w:vAlign w:val="center"/>
          </w:tcPr>
          <w:p>
            <w:pPr>
              <w:jc w:val="center"/>
              <w:rPr>
                <w:rFonts w:hint="default"/>
                <w:vertAlign w:val="baseline"/>
                <w:lang w:val="en-US" w:eastAsia="zh-CN"/>
              </w:rPr>
            </w:pPr>
            <w:r>
              <w:rPr>
                <w:rFonts w:hint="eastAsia"/>
                <w:vertAlign w:val="baseline"/>
                <w:lang w:val="en-US" w:eastAsia="zh-CN"/>
              </w:rPr>
              <w:t>3</w:t>
            </w:r>
          </w:p>
        </w:tc>
        <w:tc>
          <w:tcPr>
            <w:tcW w:w="1185" w:type="dxa"/>
            <w:vAlign w:val="center"/>
          </w:tcPr>
          <w:p>
            <w:pPr>
              <w:jc w:val="center"/>
              <w:rPr>
                <w:rFonts w:hint="eastAsia" w:eastAsia="宋体"/>
                <w:vertAlign w:val="baseline"/>
                <w:lang w:val="en-US" w:eastAsia="zh-CN"/>
              </w:rPr>
            </w:pPr>
            <w:r>
              <w:rPr>
                <w:rFonts w:hint="eastAsia"/>
                <w:vertAlign w:val="baseline"/>
                <w:lang w:val="en-US" w:eastAsia="zh-CN"/>
              </w:rPr>
              <w:t>后续增值服务</w:t>
            </w:r>
          </w:p>
        </w:tc>
        <w:tc>
          <w:tcPr>
            <w:tcW w:w="1560" w:type="dxa"/>
            <w:vAlign w:val="center"/>
          </w:tcPr>
          <w:p>
            <w:pPr>
              <w:jc w:val="center"/>
              <w:rPr>
                <w:rFonts w:hint="eastAsia"/>
                <w:vertAlign w:val="baseline"/>
                <w:lang w:val="en-US" w:eastAsia="zh-CN"/>
              </w:rPr>
            </w:pPr>
            <w:r>
              <w:rPr>
                <w:rFonts w:hint="eastAsia"/>
                <w:vertAlign w:val="baseline"/>
                <w:lang w:val="en-US" w:eastAsia="zh-CN"/>
              </w:rPr>
              <w:t>提供增值服务</w:t>
            </w:r>
          </w:p>
        </w:tc>
        <w:tc>
          <w:tcPr>
            <w:tcW w:w="4950" w:type="dxa"/>
            <w:vAlign w:val="center"/>
          </w:tcPr>
          <w:p>
            <w:pPr>
              <w:jc w:val="left"/>
              <w:rPr>
                <w:rFonts w:hint="eastAsia"/>
                <w:vertAlign w:val="baseline"/>
                <w:lang w:val="en-US" w:eastAsia="zh-CN"/>
              </w:rPr>
            </w:pPr>
            <w:r>
              <w:rPr>
                <w:rFonts w:hint="eastAsia"/>
                <w:vertAlign w:val="baseline"/>
                <w:lang w:val="en-US" w:eastAsia="zh-CN"/>
              </w:rPr>
              <w:t>承诺每季度出具管理建议书</w:t>
            </w:r>
          </w:p>
        </w:tc>
        <w:tc>
          <w:tcPr>
            <w:tcW w:w="1093" w:type="dxa"/>
            <w:vAlign w:val="center"/>
          </w:tcPr>
          <w:p>
            <w:pPr>
              <w:jc w:val="center"/>
              <w:rPr>
                <w:rFonts w:hint="default"/>
                <w:vertAlign w:val="baseline"/>
                <w:lang w:val="en-US" w:eastAsia="zh-CN"/>
              </w:rPr>
            </w:pPr>
            <w:r>
              <w:rPr>
                <w:rFonts w:hint="eastAsia"/>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784" w:type="dxa"/>
            <w:vAlign w:val="center"/>
          </w:tcPr>
          <w:p>
            <w:pPr>
              <w:jc w:val="center"/>
              <w:rPr>
                <w:rFonts w:hint="eastAsia" w:eastAsia="宋体"/>
                <w:vertAlign w:val="baseline"/>
                <w:lang w:val="en-US" w:eastAsia="zh-CN"/>
              </w:rPr>
            </w:pPr>
            <w:r>
              <w:rPr>
                <w:rFonts w:hint="eastAsia"/>
                <w:vertAlign w:val="baseline"/>
                <w:lang w:val="en-US" w:eastAsia="zh-CN"/>
              </w:rPr>
              <w:t>4</w:t>
            </w:r>
          </w:p>
        </w:tc>
        <w:tc>
          <w:tcPr>
            <w:tcW w:w="1185" w:type="dxa"/>
            <w:vAlign w:val="center"/>
          </w:tcPr>
          <w:p>
            <w:pPr>
              <w:jc w:val="center"/>
              <w:rPr>
                <w:vertAlign w:val="baseline"/>
              </w:rPr>
            </w:pPr>
            <w:r>
              <w:rPr>
                <w:rFonts w:hint="eastAsia"/>
                <w:vertAlign w:val="baseline"/>
                <w:lang w:val="en-US" w:eastAsia="zh-CN"/>
              </w:rPr>
              <w:t>审计费用</w:t>
            </w:r>
          </w:p>
        </w:tc>
        <w:tc>
          <w:tcPr>
            <w:tcW w:w="1560" w:type="dxa"/>
            <w:vAlign w:val="center"/>
          </w:tcPr>
          <w:p>
            <w:pPr>
              <w:jc w:val="center"/>
              <w:rPr>
                <w:rFonts w:hint="default" w:eastAsia="宋体"/>
                <w:vertAlign w:val="baseline"/>
                <w:lang w:val="en-US" w:eastAsia="zh-CN"/>
              </w:rPr>
            </w:pPr>
            <w:r>
              <w:rPr>
                <w:rFonts w:hint="eastAsia"/>
                <w:vertAlign w:val="baseline"/>
                <w:lang w:val="en-US" w:eastAsia="zh-CN"/>
              </w:rPr>
              <w:t>审计费用报价得分</w:t>
            </w:r>
          </w:p>
        </w:tc>
        <w:tc>
          <w:tcPr>
            <w:tcW w:w="4950" w:type="dxa"/>
            <w:vAlign w:val="center"/>
          </w:tcPr>
          <w:p>
            <w:pPr>
              <w:rPr>
                <w:rFonts w:hint="default" w:eastAsia="宋体"/>
                <w:vertAlign w:val="baseline"/>
                <w:lang w:val="en-US" w:eastAsia="zh-CN"/>
              </w:rPr>
            </w:pPr>
            <w:r>
              <w:rPr>
                <w:rFonts w:hint="default" w:eastAsia="宋体"/>
                <w:vertAlign w:val="baseline"/>
                <w:lang w:val="en-US" w:eastAsia="zh-CN"/>
              </w:rPr>
              <w:t>满足选聘文件要求的所有会计师事务所审计费用报价的平均值作为选聘基准价</w:t>
            </w:r>
            <w:r>
              <w:rPr>
                <w:rFonts w:hint="eastAsia"/>
                <w:vertAlign w:val="baseline"/>
                <w:lang w:val="en-US" w:eastAsia="zh-CN"/>
              </w:rPr>
              <w:t>，</w:t>
            </w:r>
            <w:r>
              <w:rPr>
                <w:rFonts w:hint="default" w:eastAsia="宋体"/>
                <w:vertAlign w:val="baseline"/>
                <w:lang w:val="en-US" w:eastAsia="zh-CN"/>
              </w:rPr>
              <w:t>审计费用报价得分=(1-|选聘基准价-审计费用报价|/选聘基准价)x审计费用报价要素所占权重分值</w:t>
            </w:r>
          </w:p>
        </w:tc>
        <w:tc>
          <w:tcPr>
            <w:tcW w:w="1093" w:type="dxa"/>
            <w:vAlign w:val="center"/>
          </w:tcPr>
          <w:p>
            <w:pPr>
              <w:jc w:val="center"/>
              <w:rPr>
                <w:rFonts w:hint="default" w:eastAsia="宋体"/>
                <w:vertAlign w:val="baseline"/>
                <w:lang w:val="en-US" w:eastAsia="zh-CN"/>
              </w:rPr>
            </w:pPr>
            <w:r>
              <w:rPr>
                <w:rFonts w:hint="eastAsia"/>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479" w:type="dxa"/>
            <w:gridSpan w:val="4"/>
            <w:vAlign w:val="center"/>
          </w:tcPr>
          <w:p>
            <w:pPr>
              <w:jc w:val="center"/>
              <w:rPr>
                <w:vertAlign w:val="baseline"/>
              </w:rPr>
            </w:pPr>
            <w:r>
              <w:rPr>
                <w:rFonts w:hint="eastAsia"/>
                <w:vertAlign w:val="baseline"/>
                <w:lang w:val="en-US" w:eastAsia="zh-CN"/>
              </w:rPr>
              <w:t>评标总得分（100分）</w:t>
            </w:r>
          </w:p>
        </w:tc>
        <w:tc>
          <w:tcPr>
            <w:tcW w:w="1093" w:type="dxa"/>
            <w:vAlign w:val="center"/>
          </w:tcPr>
          <w:p>
            <w:pPr>
              <w:jc w:val="center"/>
              <w:rPr>
                <w:rFonts w:hint="default" w:eastAsia="宋体"/>
                <w:vertAlign w:val="baseline"/>
                <w:lang w:val="en-US" w:eastAsia="zh-CN"/>
              </w:rPr>
            </w:pPr>
            <w:r>
              <w:rPr>
                <w:rFonts w:hint="eastAsia"/>
                <w:vertAlign w:val="baseline"/>
                <w:lang w:val="en-US" w:eastAsia="zh-CN"/>
              </w:rPr>
              <w:t>100</w:t>
            </w:r>
          </w:p>
        </w:tc>
      </w:tr>
    </w:tbl>
    <w:p/>
    <w:p>
      <w:pPr>
        <w:rPr>
          <w:rFonts w:hint="eastAsia" w:ascii="仿宋" w:hAnsi="仿宋" w:eastAsia="仿宋"/>
          <w:b/>
          <w:sz w:val="32"/>
          <w:lang w:val="en-US" w:eastAsia="zh-CN"/>
        </w:rPr>
      </w:pPr>
      <w:r>
        <w:rPr>
          <w:rFonts w:hint="eastAsia" w:ascii="仿宋" w:hAnsi="仿宋" w:eastAsia="仿宋"/>
          <w:b/>
          <w:sz w:val="32"/>
          <w:lang w:val="en-US" w:eastAsia="zh-CN"/>
        </w:rPr>
        <w:br w:type="page"/>
      </w:r>
    </w:p>
    <w:p>
      <w:pPr>
        <w:rPr>
          <w:rFonts w:hint="default" w:ascii="仿宋" w:hAnsi="仿宋" w:eastAsia="仿宋"/>
          <w:b/>
          <w:sz w:val="28"/>
          <w:szCs w:val="28"/>
          <w:lang w:val="en-US"/>
        </w:rPr>
      </w:pPr>
      <w:r>
        <w:rPr>
          <w:rFonts w:hint="eastAsia" w:ascii="仿宋" w:hAnsi="仿宋" w:eastAsia="仿宋"/>
          <w:b/>
          <w:sz w:val="32"/>
          <w:lang w:val="en-US" w:eastAsia="zh-CN"/>
        </w:rPr>
        <w:t>附件4  投标文件模板</w:t>
      </w:r>
    </w:p>
    <w:p>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pPr>
        <w:pStyle w:val="2"/>
        <w:rPr>
          <w:rFonts w:hint="eastAsia"/>
          <w:lang w:val="en-US" w:eastAsia="zh-CN"/>
        </w:rPr>
      </w:pPr>
    </w:p>
    <w:p>
      <w:pPr>
        <w:pStyle w:val="2"/>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2" name="矩形 4"/>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goWz2wAAAAsBAAAPAAAAAAAAAAEAIAAAACIAAABkcnMvZG93bnJl&#10;di54bWxQSwECFAAUAAAACACHTuJAClscXPoBAAD3AwAADgAAAAAAAAABACAAAAAqAQAAZHJzL2Uy&#10;b0RvYy54bWxQSwUGAAAAAAYABgBZAQAAlgUAAAAA&#10;">
                <v:fill on="f" focussize="0,0"/>
                <v:stroke weight="1.5pt" color="#000000" joinstyle="miter"/>
                <v:imagedata o:title=""/>
                <o:lock v:ext="edit" aspectratio="f"/>
              </v:rect>
            </w:pict>
          </mc:Fallback>
        </mc:AlternateContent>
      </w:r>
    </w:p>
    <w:p>
      <w:pPr>
        <w:pStyle w:val="2"/>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3"/>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矩形 3"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7cWXbXAAAACgEAAA8AAAAAAAAAAQAgAAAAIgAAAGRycy9kb3ducmV2Lnht&#10;bFBLAQIUABQAAAAIAIdO4kBE6TmG+gEAAPYDAAAOAAAAAAAAAAEAIAAAACYBAABkcnMvZTJvRG9j&#10;LnhtbFBLBQYAAAAABgAGAFkBAACSBQAAAAA=&#10;">
                <v:fill on="f" focussize="0,0"/>
                <v:stroke weight="1.5pt" color="#000000" joinstyle="miter" dashstyle="1 1" endcap="square"/>
                <v:imagedata o:title=""/>
                <o:lock v:ext="edit" aspectratio="f"/>
              </v:rect>
            </w:pict>
          </mc:Fallback>
        </mc:AlternateContent>
      </w:r>
    </w:p>
    <w:p>
      <w:pPr>
        <w:pStyle w:val="2"/>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2"/>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名称：润城城控集团及下属子公司会计师事务所选聘项目</w:t>
      </w:r>
    </w:p>
    <w:p>
      <w:pPr>
        <w:pStyle w:val="2"/>
        <w:spacing w:line="240" w:lineRule="auto"/>
        <w:ind w:left="0" w:leftChars="0" w:firstLine="0" w:firstLineChars="0"/>
        <w:jc w:val="center"/>
        <w:rPr>
          <w:rFonts w:hint="eastAsia" w:ascii="华文楷体" w:hAnsi="华文楷体" w:eastAsia="华文楷体" w:cs="华文楷体"/>
          <w:sz w:val="36"/>
          <w:szCs w:val="36"/>
          <w:lang w:val="en-US" w:eastAsia="zh-CN"/>
        </w:rPr>
      </w:pPr>
    </w:p>
    <w:p>
      <w:pPr>
        <w:pStyle w:val="2"/>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pPr>
        <w:pStyle w:val="2"/>
        <w:spacing w:line="240" w:lineRule="auto"/>
        <w:ind w:left="0" w:leftChars="0" w:firstLine="0" w:firstLineChars="0"/>
        <w:jc w:val="center"/>
        <w:rPr>
          <w:rFonts w:hint="eastAsia" w:ascii="华文楷体" w:hAnsi="华文楷体" w:eastAsia="华文楷体" w:cs="华文楷体"/>
          <w:sz w:val="21"/>
          <w:szCs w:val="21"/>
          <w:lang w:val="en-US" w:eastAsia="zh-CN"/>
        </w:rPr>
      </w:pPr>
    </w:p>
    <w:p>
      <w:pPr>
        <w:pStyle w:val="2"/>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pPr>
        <w:pStyle w:val="2"/>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pPr>
        <w:pStyle w:val="2"/>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2"/>
        <w:spacing w:line="240" w:lineRule="auto"/>
        <w:ind w:left="0" w:leftChars="0" w:firstLine="0" w:firstLineChars="0"/>
        <w:jc w:val="right"/>
        <w:rPr>
          <w:rFonts w:hint="eastAsia" w:ascii="华文楷体" w:hAnsi="华文楷体" w:eastAsia="华文楷体" w:cs="华文楷体"/>
          <w:sz w:val="18"/>
          <w:szCs w:val="18"/>
          <w:lang w:val="en-US" w:eastAsia="zh-CN"/>
        </w:rPr>
      </w:pPr>
    </w:p>
    <w:p>
      <w:pPr>
        <w:pStyle w:val="2"/>
        <w:spacing w:line="240" w:lineRule="auto"/>
        <w:ind w:left="0" w:leftChars="0" w:firstLine="0" w:firstLineChars="0"/>
        <w:jc w:val="center"/>
        <w:rPr>
          <w:rFonts w:hint="eastAsia" w:ascii="华文楷体" w:hAnsi="华文楷体" w:eastAsia="华文楷体" w:cs="华文楷体"/>
          <w:sz w:val="28"/>
          <w:szCs w:val="28"/>
          <w:lang w:val="en-US" w:eastAsia="zh-CN"/>
        </w:rPr>
      </w:pPr>
    </w:p>
    <w:p>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pPr>
        <w:pStyle w:val="2"/>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pPr>
        <w:pStyle w:val="2"/>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pPr>
        <w:pStyle w:val="2"/>
        <w:numPr>
          <w:ilvl w:val="0"/>
          <w:numId w:val="0"/>
        </w:numPr>
        <w:jc w:val="center"/>
        <w:rPr>
          <w:rFonts w:hint="eastAsia" w:ascii="仿宋" w:hAnsi="仿宋" w:eastAsia="仿宋" w:cs="仿宋"/>
          <w:b/>
          <w:bCs/>
          <w:sz w:val="52"/>
          <w:szCs w:val="52"/>
          <w:lang w:val="en-US" w:eastAsia="zh-CN"/>
        </w:rPr>
      </w:pPr>
    </w:p>
    <w:p>
      <w:pPr>
        <w:pStyle w:val="2"/>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投标文件</w:t>
      </w:r>
    </w:p>
    <w:p>
      <w:pPr>
        <w:pStyle w:val="2"/>
        <w:numPr>
          <w:ilvl w:val="0"/>
          <w:numId w:val="0"/>
        </w:numPr>
        <w:rPr>
          <w:rFonts w:hint="eastAsia" w:ascii="仿宋" w:hAnsi="仿宋" w:eastAsia="仿宋" w:cs="仿宋"/>
          <w:b/>
          <w:bCs/>
          <w:sz w:val="28"/>
          <w:szCs w:val="28"/>
          <w:lang w:val="en-US" w:eastAsia="zh-CN"/>
        </w:rPr>
      </w:pPr>
    </w:p>
    <w:p>
      <w:pPr>
        <w:pStyle w:val="2"/>
        <w:numPr>
          <w:ilvl w:val="0"/>
          <w:numId w:val="0"/>
        </w:numPr>
        <w:rPr>
          <w:rFonts w:hint="eastAsia" w:ascii="仿宋" w:hAnsi="仿宋" w:eastAsia="仿宋" w:cs="仿宋"/>
          <w:b/>
          <w:bCs/>
          <w:sz w:val="28"/>
          <w:szCs w:val="28"/>
          <w:lang w:val="en-US" w:eastAsia="zh-CN"/>
        </w:rPr>
      </w:pPr>
    </w:p>
    <w:p>
      <w:pPr>
        <w:pStyle w:val="2"/>
        <w:numPr>
          <w:ilvl w:val="0"/>
          <w:numId w:val="0"/>
        </w:numPr>
        <w:rPr>
          <w:rFonts w:hint="eastAsia" w:ascii="仿宋" w:hAnsi="仿宋" w:eastAsia="仿宋" w:cs="仿宋"/>
          <w:b/>
          <w:bCs/>
          <w:sz w:val="28"/>
          <w:szCs w:val="28"/>
          <w:lang w:val="en-US" w:eastAsia="zh-CN"/>
        </w:rPr>
      </w:pPr>
    </w:p>
    <w:p>
      <w:pPr>
        <w:pStyle w:val="2"/>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名称：润城城控集团及下属子公司会计师事务所选聘项目</w:t>
      </w:r>
    </w:p>
    <w:p>
      <w:pPr>
        <w:pStyle w:val="2"/>
        <w:numPr>
          <w:ilvl w:val="0"/>
          <w:numId w:val="0"/>
        </w:numPr>
        <w:jc w:val="center"/>
        <w:rPr>
          <w:rFonts w:hint="eastAsia" w:ascii="仿宋" w:hAnsi="仿宋" w:eastAsia="仿宋" w:cs="仿宋"/>
          <w:b/>
          <w:bCs/>
          <w:sz w:val="32"/>
          <w:szCs w:val="32"/>
          <w:lang w:val="en-US" w:eastAsia="zh-CN"/>
        </w:rPr>
      </w:pPr>
    </w:p>
    <w:p>
      <w:pPr>
        <w:pStyle w:val="2"/>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标 人：江苏润城城市投资控股集团有限公司</w:t>
      </w:r>
    </w:p>
    <w:p>
      <w:pPr>
        <w:pStyle w:val="2"/>
        <w:numPr>
          <w:ilvl w:val="0"/>
          <w:numId w:val="0"/>
        </w:numPr>
        <w:jc w:val="center"/>
        <w:rPr>
          <w:rFonts w:hint="eastAsia" w:ascii="仿宋" w:hAnsi="仿宋" w:eastAsia="仿宋" w:cs="仿宋"/>
          <w:b/>
          <w:bCs/>
          <w:sz w:val="28"/>
          <w:szCs w:val="28"/>
          <w:lang w:val="en-US" w:eastAsia="zh-CN"/>
        </w:rPr>
      </w:pPr>
    </w:p>
    <w:p>
      <w:pPr>
        <w:pStyle w:val="2"/>
        <w:numPr>
          <w:ilvl w:val="0"/>
          <w:numId w:val="0"/>
        </w:numPr>
        <w:jc w:val="center"/>
        <w:rPr>
          <w:rFonts w:hint="eastAsia" w:ascii="仿宋" w:hAnsi="仿宋" w:eastAsia="仿宋" w:cs="仿宋"/>
          <w:b/>
          <w:bCs/>
          <w:sz w:val="28"/>
          <w:szCs w:val="28"/>
          <w:lang w:val="en-US" w:eastAsia="zh-CN"/>
        </w:rPr>
      </w:pPr>
    </w:p>
    <w:p>
      <w:pPr>
        <w:pStyle w:val="2"/>
        <w:numPr>
          <w:ilvl w:val="0"/>
          <w:numId w:val="0"/>
        </w:numPr>
        <w:jc w:val="center"/>
        <w:rPr>
          <w:rFonts w:hint="eastAsia" w:ascii="仿宋" w:hAnsi="仿宋" w:eastAsia="仿宋" w:cs="仿宋"/>
          <w:b/>
          <w:bCs/>
          <w:sz w:val="28"/>
          <w:szCs w:val="28"/>
          <w:lang w:val="en-US" w:eastAsia="zh-CN"/>
        </w:rPr>
      </w:pPr>
    </w:p>
    <w:p>
      <w:pPr>
        <w:pStyle w:val="2"/>
        <w:numPr>
          <w:ilvl w:val="0"/>
          <w:numId w:val="0"/>
        </w:numPr>
        <w:jc w:val="center"/>
        <w:rPr>
          <w:rFonts w:hint="eastAsia" w:ascii="仿宋" w:hAnsi="仿宋" w:eastAsia="仿宋" w:cs="仿宋"/>
          <w:b/>
          <w:bCs/>
          <w:sz w:val="28"/>
          <w:szCs w:val="28"/>
          <w:lang w:val="en-US" w:eastAsia="zh-CN"/>
        </w:rPr>
      </w:pPr>
    </w:p>
    <w:p>
      <w:pPr>
        <w:pStyle w:val="2"/>
        <w:numPr>
          <w:ilvl w:val="0"/>
          <w:numId w:val="0"/>
        </w:numPr>
        <w:jc w:val="center"/>
        <w:rPr>
          <w:rFonts w:hint="eastAsia" w:ascii="仿宋" w:hAnsi="仿宋" w:eastAsia="仿宋" w:cs="仿宋"/>
          <w:b/>
          <w:bCs/>
          <w:sz w:val="28"/>
          <w:szCs w:val="28"/>
          <w:lang w:val="en-US" w:eastAsia="zh-CN"/>
        </w:rPr>
      </w:pPr>
    </w:p>
    <w:p>
      <w:pPr>
        <w:pStyle w:val="2"/>
        <w:numPr>
          <w:ilvl w:val="0"/>
          <w:numId w:val="0"/>
        </w:numPr>
        <w:jc w:val="center"/>
        <w:rPr>
          <w:rFonts w:hint="eastAsia" w:ascii="仿宋" w:hAnsi="仿宋" w:eastAsia="仿宋" w:cs="仿宋"/>
          <w:b/>
          <w:bCs/>
          <w:sz w:val="28"/>
          <w:szCs w:val="28"/>
          <w:lang w:val="en-US" w:eastAsia="zh-CN"/>
        </w:rPr>
      </w:pPr>
    </w:p>
    <w:p>
      <w:pPr>
        <w:pStyle w:val="2"/>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pPr>
        <w:pStyle w:val="2"/>
        <w:numPr>
          <w:ilvl w:val="0"/>
          <w:numId w:val="0"/>
        </w:numPr>
        <w:ind w:left="1260" w:leftChars="0" w:firstLine="420" w:firstLineChars="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pPr>
        <w:pStyle w:val="2"/>
        <w:numPr>
          <w:ilvl w:val="0"/>
          <w:numId w:val="0"/>
        </w:numPr>
        <w:rPr>
          <w:rFonts w:hint="default" w:ascii="仿宋" w:hAnsi="仿宋" w:eastAsia="仿宋" w:cs="仿宋"/>
          <w:b/>
          <w:bCs/>
          <w:sz w:val="28"/>
          <w:szCs w:val="28"/>
          <w:lang w:val="en-US" w:eastAsia="zh-CN"/>
        </w:rPr>
      </w:pP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w:t>
      </w:r>
      <w:r>
        <w:rPr>
          <w:rFonts w:hint="eastAsia" w:ascii="仿宋" w:hAnsi="仿宋" w:eastAsia="仿宋"/>
          <w:sz w:val="28"/>
          <w:szCs w:val="21"/>
        </w:rPr>
        <w:t>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人（法人印章）：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pPr>
        <w:ind w:right="420"/>
        <w:jc w:val="center"/>
        <w:rPr>
          <w:rFonts w:ascii="仿宋" w:hAnsi="仿宋" w:eastAsia="仿宋"/>
          <w:sz w:val="28"/>
        </w:rPr>
      </w:pPr>
      <w:r>
        <w:rPr>
          <w:rFonts w:hint="eastAsia" w:ascii="仿宋" w:hAnsi="仿宋" w:eastAsia="仿宋"/>
          <w:sz w:val="28"/>
          <w:szCs w:val="21"/>
        </w:rPr>
        <w:t>　　　　　　　　　　　　　　　　　　年　　　月　　　日</w:t>
      </w:r>
    </w:p>
    <w:tbl>
      <w:tblPr>
        <w:tblStyle w:val="18"/>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w:t>
      </w:r>
      <w:r>
        <w:rPr>
          <w:rFonts w:hint="eastAsia" w:ascii="仿宋" w:hAnsi="仿宋" w:eastAsia="仿宋"/>
          <w:sz w:val="28"/>
          <w:szCs w:val="28"/>
        </w:rPr>
        <w:t>招标文件，按照《中华人民共和国招标投标法》及有关规定，我单位经研究</w:t>
      </w:r>
      <w:r>
        <w:rPr>
          <w:rFonts w:hint="eastAsia" w:ascii="仿宋" w:hAnsi="仿宋" w:eastAsia="仿宋"/>
          <w:sz w:val="28"/>
          <w:szCs w:val="28"/>
          <w:lang w:val="en-US" w:eastAsia="zh-CN"/>
        </w:rPr>
        <w:t>招标</w:t>
      </w:r>
      <w:r>
        <w:rPr>
          <w:rFonts w:hint="eastAsia" w:ascii="仿宋" w:hAnsi="仿宋" w:eastAsia="仿宋"/>
          <w:sz w:val="28"/>
          <w:szCs w:val="28"/>
        </w:rPr>
        <w:t>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lang w:val="en-US" w:eastAsia="zh-CN"/>
        </w:rPr>
        <w:t xml:space="preserve">              </w:t>
      </w:r>
      <w:r>
        <w:rPr>
          <w:rFonts w:hint="eastAsia" w:ascii="仿宋" w:hAnsi="仿宋" w:eastAsia="仿宋"/>
          <w:b/>
          <w:bCs/>
          <w:color w:val="FF0000"/>
          <w:sz w:val="28"/>
          <w:szCs w:val="28"/>
          <w:lang w:val="en-US" w:eastAsia="zh-CN"/>
        </w:rPr>
        <w:t>元人民币，</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rPr>
        <w:t>。</w:t>
      </w:r>
    </w:p>
    <w:p>
      <w:pPr>
        <w:rPr>
          <w:rFonts w:ascii="仿宋" w:hAnsi="仿宋" w:eastAsia="仿宋"/>
          <w:sz w:val="18"/>
          <w:szCs w:val="18"/>
        </w:rPr>
      </w:pPr>
      <w:r>
        <w:rPr>
          <w:rFonts w:hint="eastAsia" w:ascii="仿宋" w:hAnsi="仿宋" w:eastAsia="仿宋"/>
          <w:sz w:val="28"/>
          <w:szCs w:val="28"/>
        </w:rPr>
        <w:t>（</w:t>
      </w:r>
      <w:r>
        <w:rPr>
          <w:rFonts w:hint="eastAsia" w:ascii="仿宋" w:hAnsi="仿宋" w:eastAsia="仿宋"/>
          <w:sz w:val="28"/>
          <w:szCs w:val="28"/>
          <w:lang w:val="en-US" w:eastAsia="zh-CN"/>
        </w:rPr>
        <w:t>二</w:t>
      </w:r>
      <w:r>
        <w:rPr>
          <w:rFonts w:hint="eastAsia" w:ascii="仿宋" w:hAnsi="仿宋" w:eastAsia="仿宋"/>
          <w:sz w:val="28"/>
          <w:szCs w:val="28"/>
        </w:rPr>
        <w:t>）贵单位的招标文件、中标通知书和本投标文件将构成约束我们双方的合同。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投标人(法人印章)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(印章)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rPr>
        <w:t xml:space="preserve">                                            年   月    日</w:t>
      </w:r>
    </w:p>
    <w:p>
      <w:pPr>
        <w:rPr>
          <w:rFonts w:ascii="仿宋" w:hAnsi="仿宋" w:eastAsia="仿宋"/>
          <w:b/>
          <w:sz w:val="32"/>
        </w:rPr>
      </w:pPr>
    </w:p>
    <w:p>
      <w:pPr>
        <w:rPr>
          <w:rFonts w:hint="eastAsia" w:ascii="仿宋" w:hAnsi="仿宋" w:eastAsia="仿宋"/>
          <w:b/>
          <w:sz w:val="36"/>
          <w:szCs w:val="36"/>
        </w:rPr>
      </w:pPr>
      <w:r>
        <w:rPr>
          <w:rFonts w:hint="eastAsia" w:ascii="仿宋" w:hAnsi="仿宋" w:eastAsia="仿宋"/>
          <w:b/>
          <w:sz w:val="36"/>
          <w:szCs w:val="36"/>
        </w:rPr>
        <w:br w:type="page"/>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(建设单位)：</w:t>
      </w:r>
    </w:p>
    <w:p>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w:t>
      </w:r>
      <w:r>
        <w:rPr>
          <w:rFonts w:hint="eastAsia" w:ascii="仿宋" w:hAnsi="仿宋" w:eastAsia="仿宋"/>
          <w:sz w:val="28"/>
          <w:szCs w:val="28"/>
        </w:rPr>
        <w:t>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4、遵守廉洁相关规定，不向招投标各方主体及监管部门行贿、受贿；</w:t>
      </w:r>
    </w:p>
    <w:p>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pPr>
        <w:pStyle w:val="11"/>
        <w:rPr>
          <w:rFonts w:hint="eastAsia" w:ascii="仿宋" w:hAnsi="仿宋" w:eastAsia="仿宋"/>
          <w:sz w:val="28"/>
          <w:szCs w:val="28"/>
        </w:rPr>
      </w:pPr>
    </w:p>
    <w:p>
      <w:pPr>
        <w:pStyle w:val="11"/>
        <w:rPr>
          <w:rFonts w:hint="eastAsia"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投标人（法人印章）</w:t>
      </w:r>
    </w:p>
    <w:p>
      <w:pPr>
        <w:ind w:firstLine="4760" w:firstLineChars="17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法定代表人（印章）</w:t>
      </w:r>
    </w:p>
    <w:p>
      <w:pPr>
        <w:rPr>
          <w:rFonts w:ascii="仿宋" w:hAnsi="仿宋" w:eastAsia="仿宋"/>
          <w:b/>
          <w:sz w:val="32"/>
        </w:rPr>
      </w:pPr>
    </w:p>
    <w:p>
      <w:pPr>
        <w:rPr>
          <w:rFonts w:ascii="仿宋" w:hAnsi="仿宋" w:eastAsia="仿宋"/>
          <w:b/>
          <w:sz w:val="32"/>
        </w:rPr>
      </w:pPr>
    </w:p>
    <w:sectPr>
      <w:pgSz w:w="11907" w:h="16840"/>
      <w:pgMar w:top="1440" w:right="1275" w:bottom="1440" w:left="1276" w:header="720" w:footer="720"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DRhOGFiZDI3NjJlZjJmNWNlY2Q1MGVhODk2YmYifQ=="/>
  </w:docVars>
  <w:rsids>
    <w:rsidRoot w:val="00F15180"/>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74A7C"/>
    <w:rsid w:val="00286C8B"/>
    <w:rsid w:val="00292AF1"/>
    <w:rsid w:val="00295249"/>
    <w:rsid w:val="002A5954"/>
    <w:rsid w:val="002B247F"/>
    <w:rsid w:val="002B42F9"/>
    <w:rsid w:val="002B6580"/>
    <w:rsid w:val="002C5FDE"/>
    <w:rsid w:val="002D35F8"/>
    <w:rsid w:val="002E5D27"/>
    <w:rsid w:val="002F0859"/>
    <w:rsid w:val="00330BE1"/>
    <w:rsid w:val="0033137E"/>
    <w:rsid w:val="0034132B"/>
    <w:rsid w:val="00370016"/>
    <w:rsid w:val="00370D7D"/>
    <w:rsid w:val="00383B5F"/>
    <w:rsid w:val="003A3AEF"/>
    <w:rsid w:val="003A6DD9"/>
    <w:rsid w:val="003A7742"/>
    <w:rsid w:val="003D0286"/>
    <w:rsid w:val="003D60B7"/>
    <w:rsid w:val="003D7F40"/>
    <w:rsid w:val="003F13F7"/>
    <w:rsid w:val="003F6819"/>
    <w:rsid w:val="00431964"/>
    <w:rsid w:val="00460464"/>
    <w:rsid w:val="004625EA"/>
    <w:rsid w:val="0046745A"/>
    <w:rsid w:val="00471203"/>
    <w:rsid w:val="004777C0"/>
    <w:rsid w:val="00481BCC"/>
    <w:rsid w:val="004A14A0"/>
    <w:rsid w:val="004A56E0"/>
    <w:rsid w:val="004D33B2"/>
    <w:rsid w:val="004D4AEB"/>
    <w:rsid w:val="004D7F47"/>
    <w:rsid w:val="004F22F2"/>
    <w:rsid w:val="005154E7"/>
    <w:rsid w:val="00520512"/>
    <w:rsid w:val="0055332E"/>
    <w:rsid w:val="00566C24"/>
    <w:rsid w:val="00584640"/>
    <w:rsid w:val="005920DB"/>
    <w:rsid w:val="005B7474"/>
    <w:rsid w:val="005E2D81"/>
    <w:rsid w:val="005F07CE"/>
    <w:rsid w:val="00620F6F"/>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1394D48"/>
    <w:rsid w:val="01D5165F"/>
    <w:rsid w:val="020F0810"/>
    <w:rsid w:val="02160F0D"/>
    <w:rsid w:val="034A70C0"/>
    <w:rsid w:val="043B7766"/>
    <w:rsid w:val="04CC56BA"/>
    <w:rsid w:val="051F67D1"/>
    <w:rsid w:val="05730E35"/>
    <w:rsid w:val="066E73F7"/>
    <w:rsid w:val="06DE7EAB"/>
    <w:rsid w:val="07EA0E72"/>
    <w:rsid w:val="08901CD9"/>
    <w:rsid w:val="0978425B"/>
    <w:rsid w:val="09806698"/>
    <w:rsid w:val="09A6526C"/>
    <w:rsid w:val="0A02431C"/>
    <w:rsid w:val="0A09506F"/>
    <w:rsid w:val="0A14667A"/>
    <w:rsid w:val="0B5A5498"/>
    <w:rsid w:val="0BC94572"/>
    <w:rsid w:val="0BFD555A"/>
    <w:rsid w:val="0C070AE5"/>
    <w:rsid w:val="0C5A567C"/>
    <w:rsid w:val="0D500D75"/>
    <w:rsid w:val="0E0A54C0"/>
    <w:rsid w:val="0E720520"/>
    <w:rsid w:val="0E852D60"/>
    <w:rsid w:val="0EC64013"/>
    <w:rsid w:val="0F0C791F"/>
    <w:rsid w:val="0F2779DF"/>
    <w:rsid w:val="0F9D0EBF"/>
    <w:rsid w:val="112B6A46"/>
    <w:rsid w:val="121A61CF"/>
    <w:rsid w:val="13143447"/>
    <w:rsid w:val="136A73FF"/>
    <w:rsid w:val="138806E4"/>
    <w:rsid w:val="13E470BD"/>
    <w:rsid w:val="1404150D"/>
    <w:rsid w:val="141A48B7"/>
    <w:rsid w:val="144E16B7"/>
    <w:rsid w:val="14826A00"/>
    <w:rsid w:val="158305A9"/>
    <w:rsid w:val="1677020B"/>
    <w:rsid w:val="16CD62E0"/>
    <w:rsid w:val="16D2144F"/>
    <w:rsid w:val="18226406"/>
    <w:rsid w:val="187122A1"/>
    <w:rsid w:val="18D74D3E"/>
    <w:rsid w:val="1AAC61B1"/>
    <w:rsid w:val="1B69051E"/>
    <w:rsid w:val="1BEA4DB8"/>
    <w:rsid w:val="1C1B5646"/>
    <w:rsid w:val="1C2D38AF"/>
    <w:rsid w:val="1C352CC8"/>
    <w:rsid w:val="1C4465D2"/>
    <w:rsid w:val="1CDB355F"/>
    <w:rsid w:val="1CF57C45"/>
    <w:rsid w:val="1D2666D0"/>
    <w:rsid w:val="1D666D95"/>
    <w:rsid w:val="1D7D068C"/>
    <w:rsid w:val="1E6A24D3"/>
    <w:rsid w:val="1EB83620"/>
    <w:rsid w:val="1ECC2C27"/>
    <w:rsid w:val="1F8511B9"/>
    <w:rsid w:val="210B22B9"/>
    <w:rsid w:val="213D1BBA"/>
    <w:rsid w:val="219677CE"/>
    <w:rsid w:val="223D6D79"/>
    <w:rsid w:val="22433B86"/>
    <w:rsid w:val="225125D0"/>
    <w:rsid w:val="22603DB2"/>
    <w:rsid w:val="22900429"/>
    <w:rsid w:val="22FD04D4"/>
    <w:rsid w:val="23025F35"/>
    <w:rsid w:val="23EF3D1F"/>
    <w:rsid w:val="246C2EE2"/>
    <w:rsid w:val="256A5188"/>
    <w:rsid w:val="259F45C7"/>
    <w:rsid w:val="25A91385"/>
    <w:rsid w:val="25E1520A"/>
    <w:rsid w:val="266B6072"/>
    <w:rsid w:val="26BC1A04"/>
    <w:rsid w:val="27CE7A10"/>
    <w:rsid w:val="27F11415"/>
    <w:rsid w:val="28E61BDB"/>
    <w:rsid w:val="29A90543"/>
    <w:rsid w:val="29D86E80"/>
    <w:rsid w:val="2A34253A"/>
    <w:rsid w:val="2A473AAA"/>
    <w:rsid w:val="2AFE685E"/>
    <w:rsid w:val="2B7408CF"/>
    <w:rsid w:val="2BFF463C"/>
    <w:rsid w:val="2C2D51EE"/>
    <w:rsid w:val="2C400CA2"/>
    <w:rsid w:val="2CC6574E"/>
    <w:rsid w:val="2CD31625"/>
    <w:rsid w:val="2CE61358"/>
    <w:rsid w:val="2DA64823"/>
    <w:rsid w:val="2E2B796A"/>
    <w:rsid w:val="2E65397A"/>
    <w:rsid w:val="2EFF5386"/>
    <w:rsid w:val="2F490DD9"/>
    <w:rsid w:val="2FA8323D"/>
    <w:rsid w:val="2FC15AE4"/>
    <w:rsid w:val="2FF72A3D"/>
    <w:rsid w:val="303C2832"/>
    <w:rsid w:val="31082B9F"/>
    <w:rsid w:val="31242DF3"/>
    <w:rsid w:val="315533BC"/>
    <w:rsid w:val="316D3DF6"/>
    <w:rsid w:val="321832AE"/>
    <w:rsid w:val="323808A8"/>
    <w:rsid w:val="32733EFD"/>
    <w:rsid w:val="330412B5"/>
    <w:rsid w:val="33484B1B"/>
    <w:rsid w:val="339A048C"/>
    <w:rsid w:val="346C2A8B"/>
    <w:rsid w:val="34740384"/>
    <w:rsid w:val="349E1E18"/>
    <w:rsid w:val="354B6B44"/>
    <w:rsid w:val="35584B44"/>
    <w:rsid w:val="369976B3"/>
    <w:rsid w:val="36A22794"/>
    <w:rsid w:val="371B60A2"/>
    <w:rsid w:val="371F50E7"/>
    <w:rsid w:val="37C55EA2"/>
    <w:rsid w:val="37C878EF"/>
    <w:rsid w:val="37F25055"/>
    <w:rsid w:val="387463B2"/>
    <w:rsid w:val="387A33C4"/>
    <w:rsid w:val="38D676C9"/>
    <w:rsid w:val="39355B41"/>
    <w:rsid w:val="395F26ED"/>
    <w:rsid w:val="39A04403"/>
    <w:rsid w:val="3AF330D3"/>
    <w:rsid w:val="3C067321"/>
    <w:rsid w:val="3C5D193C"/>
    <w:rsid w:val="3D4B53AD"/>
    <w:rsid w:val="3D8D57D9"/>
    <w:rsid w:val="3DB45990"/>
    <w:rsid w:val="3E706986"/>
    <w:rsid w:val="3FB84A40"/>
    <w:rsid w:val="412B43C7"/>
    <w:rsid w:val="41687451"/>
    <w:rsid w:val="42254FC8"/>
    <w:rsid w:val="42AD6748"/>
    <w:rsid w:val="432740F7"/>
    <w:rsid w:val="43FB3FA2"/>
    <w:rsid w:val="44082166"/>
    <w:rsid w:val="44123F1A"/>
    <w:rsid w:val="449A44CB"/>
    <w:rsid w:val="451A3E3D"/>
    <w:rsid w:val="452B51D3"/>
    <w:rsid w:val="45C65937"/>
    <w:rsid w:val="45ED7D56"/>
    <w:rsid w:val="46D66CB5"/>
    <w:rsid w:val="474A281C"/>
    <w:rsid w:val="47DB3D58"/>
    <w:rsid w:val="47DB7E4F"/>
    <w:rsid w:val="48110999"/>
    <w:rsid w:val="49177011"/>
    <w:rsid w:val="4AF129C1"/>
    <w:rsid w:val="4AF52F0E"/>
    <w:rsid w:val="4BA73B2D"/>
    <w:rsid w:val="4C9813E8"/>
    <w:rsid w:val="4E3E0B9C"/>
    <w:rsid w:val="4EBA2F55"/>
    <w:rsid w:val="503B1837"/>
    <w:rsid w:val="50502A35"/>
    <w:rsid w:val="5060001E"/>
    <w:rsid w:val="51582BCD"/>
    <w:rsid w:val="52A5743C"/>
    <w:rsid w:val="53990B87"/>
    <w:rsid w:val="54703A7A"/>
    <w:rsid w:val="54BA12A3"/>
    <w:rsid w:val="554C3B9F"/>
    <w:rsid w:val="5653342B"/>
    <w:rsid w:val="567F1D52"/>
    <w:rsid w:val="56902C30"/>
    <w:rsid w:val="569A4DDE"/>
    <w:rsid w:val="56A12CA8"/>
    <w:rsid w:val="57A17B8B"/>
    <w:rsid w:val="57B306EA"/>
    <w:rsid w:val="58FA7DB6"/>
    <w:rsid w:val="599331AA"/>
    <w:rsid w:val="5A8C19F7"/>
    <w:rsid w:val="5ADF3707"/>
    <w:rsid w:val="5B4D6FDC"/>
    <w:rsid w:val="5B6048D1"/>
    <w:rsid w:val="5C3F3395"/>
    <w:rsid w:val="5C6118EE"/>
    <w:rsid w:val="5C82434A"/>
    <w:rsid w:val="5C846314"/>
    <w:rsid w:val="5D191E51"/>
    <w:rsid w:val="5DBB7918"/>
    <w:rsid w:val="5ECF75EF"/>
    <w:rsid w:val="5EF75476"/>
    <w:rsid w:val="60907098"/>
    <w:rsid w:val="623F6839"/>
    <w:rsid w:val="62946B85"/>
    <w:rsid w:val="62D022B3"/>
    <w:rsid w:val="62EE7DB8"/>
    <w:rsid w:val="63B17DE7"/>
    <w:rsid w:val="64F16900"/>
    <w:rsid w:val="650F0BF5"/>
    <w:rsid w:val="652E1A9C"/>
    <w:rsid w:val="65652A5B"/>
    <w:rsid w:val="664B1C51"/>
    <w:rsid w:val="66E8512F"/>
    <w:rsid w:val="67077B4B"/>
    <w:rsid w:val="670F34A7"/>
    <w:rsid w:val="679F54DA"/>
    <w:rsid w:val="67B21BCB"/>
    <w:rsid w:val="67FD76C1"/>
    <w:rsid w:val="68190258"/>
    <w:rsid w:val="68D75168"/>
    <w:rsid w:val="68FC5484"/>
    <w:rsid w:val="69A8023F"/>
    <w:rsid w:val="69CD09F4"/>
    <w:rsid w:val="6BF6265F"/>
    <w:rsid w:val="6C47632A"/>
    <w:rsid w:val="6C757A27"/>
    <w:rsid w:val="6CD81094"/>
    <w:rsid w:val="6D461E4E"/>
    <w:rsid w:val="6DAA1A00"/>
    <w:rsid w:val="6E445903"/>
    <w:rsid w:val="6E623FDB"/>
    <w:rsid w:val="6EAE5B57"/>
    <w:rsid w:val="6F5635F6"/>
    <w:rsid w:val="700E6047"/>
    <w:rsid w:val="70CC4180"/>
    <w:rsid w:val="710B7575"/>
    <w:rsid w:val="715E0913"/>
    <w:rsid w:val="716129A0"/>
    <w:rsid w:val="72585825"/>
    <w:rsid w:val="72600832"/>
    <w:rsid w:val="729B4A64"/>
    <w:rsid w:val="733436DC"/>
    <w:rsid w:val="733F2B3D"/>
    <w:rsid w:val="739022A7"/>
    <w:rsid w:val="73C167AB"/>
    <w:rsid w:val="745E6FF3"/>
    <w:rsid w:val="74A97CEE"/>
    <w:rsid w:val="74C9009D"/>
    <w:rsid w:val="754206C3"/>
    <w:rsid w:val="75DE22C4"/>
    <w:rsid w:val="75FD08F4"/>
    <w:rsid w:val="76A74261"/>
    <w:rsid w:val="76A850E1"/>
    <w:rsid w:val="76B50319"/>
    <w:rsid w:val="77360313"/>
    <w:rsid w:val="78F405D7"/>
    <w:rsid w:val="79F60FAE"/>
    <w:rsid w:val="7ADB1A3F"/>
    <w:rsid w:val="7BBB4D2B"/>
    <w:rsid w:val="7BC620A1"/>
    <w:rsid w:val="7D24527D"/>
    <w:rsid w:val="7D2D4FA2"/>
    <w:rsid w:val="7D985ACE"/>
    <w:rsid w:val="7DB81E72"/>
    <w:rsid w:val="7DDB16B4"/>
    <w:rsid w:val="7DF7793E"/>
    <w:rsid w:val="7E154A5E"/>
    <w:rsid w:val="7E9C6DF1"/>
    <w:rsid w:val="7F402117"/>
    <w:rsid w:val="7F5421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20" w:firstLineChars="200"/>
    </w:pPr>
    <w:rPr>
      <w:sz w:val="21"/>
    </w:rPr>
  </w:style>
  <w:style w:type="paragraph" w:styleId="7">
    <w:name w:val="Body Text"/>
    <w:basedOn w:val="1"/>
    <w:next w:val="8"/>
    <w:autoRedefine/>
    <w:qFormat/>
    <w:uiPriority w:val="0"/>
    <w:rPr>
      <w:rFonts w:ascii="Verdana" w:hAnsi="Verdana" w:eastAsia="宋体" w:cs="Times New Roman"/>
      <w:sz w:val="24"/>
      <w:szCs w:val="18"/>
    </w:rPr>
  </w:style>
  <w:style w:type="paragraph" w:customStyle="1" w:styleId="8">
    <w:name w:val="一级条标题"/>
    <w:basedOn w:val="9"/>
    <w:next w:val="10"/>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0">
    <w:name w:val="段"/>
    <w:basedOn w:val="1"/>
    <w:next w:val="1"/>
    <w:autoRedefine/>
    <w:qFormat/>
    <w:uiPriority w:val="0"/>
    <w:pPr>
      <w:widowControl/>
      <w:autoSpaceDE w:val="0"/>
      <w:autoSpaceDN w:val="0"/>
      <w:ind w:firstLine="200" w:firstLineChars="200"/>
    </w:pPr>
    <w:rPr>
      <w:rFonts w:hint="eastAsia" w:ascii="宋体"/>
      <w:kern w:val="0"/>
      <w:szCs w:val="20"/>
    </w:rPr>
  </w:style>
  <w:style w:type="paragraph" w:styleId="11">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12">
    <w:name w:val="Plain Text"/>
    <w:basedOn w:val="1"/>
    <w:link w:val="45"/>
    <w:autoRedefine/>
    <w:qFormat/>
    <w:uiPriority w:val="0"/>
    <w:rPr>
      <w:rFonts w:ascii="宋体" w:hAnsi="Courier New"/>
    </w:rPr>
  </w:style>
  <w:style w:type="paragraph" w:styleId="13">
    <w:name w:val="footer"/>
    <w:basedOn w:val="1"/>
    <w:link w:val="35"/>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38"/>
    <w:autoRedefine/>
    <w:qFormat/>
    <w:uiPriority w:val="99"/>
    <w:pPr>
      <w:snapToGrid w:val="0"/>
      <w:jc w:val="left"/>
    </w:pPr>
    <w:rPr>
      <w:sz w:val="18"/>
      <w:szCs w:val="18"/>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7"/>
    <w:autoRedefine/>
    <w:qFormat/>
    <w:uiPriority w:val="0"/>
    <w:pPr>
      <w:ind w:firstLine="420" w:firstLineChars="100"/>
    </w:pPr>
    <w:rPr>
      <w:rFonts w:eastAsia="仿宋_GB2312"/>
      <w:sz w:val="28"/>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rPr>
  </w:style>
  <w:style w:type="character" w:styleId="22">
    <w:name w:val="page number"/>
    <w:basedOn w:val="20"/>
    <w:autoRedefine/>
    <w:qFormat/>
    <w:uiPriority w:val="0"/>
  </w:style>
  <w:style w:type="character" w:styleId="23">
    <w:name w:val="FollowedHyperlink"/>
    <w:basedOn w:val="20"/>
    <w:autoRedefine/>
    <w:semiHidden/>
    <w:unhideWhenUsed/>
    <w:qFormat/>
    <w:uiPriority w:val="99"/>
    <w:rPr>
      <w:color w:val="800080"/>
      <w:u w:val="none"/>
    </w:rPr>
  </w:style>
  <w:style w:type="character" w:styleId="24">
    <w:name w:val="HTML Definition"/>
    <w:basedOn w:val="20"/>
    <w:autoRedefine/>
    <w:semiHidden/>
    <w:unhideWhenUsed/>
    <w:qFormat/>
    <w:uiPriority w:val="99"/>
  </w:style>
  <w:style w:type="character" w:styleId="25">
    <w:name w:val="HTML Typewriter"/>
    <w:basedOn w:val="20"/>
    <w:autoRedefine/>
    <w:semiHidden/>
    <w:unhideWhenUsed/>
    <w:qFormat/>
    <w:uiPriority w:val="99"/>
    <w:rPr>
      <w:rFonts w:ascii="monospace" w:hAnsi="monospace" w:eastAsia="monospace" w:cs="monospace"/>
      <w:sz w:val="20"/>
    </w:rPr>
  </w:style>
  <w:style w:type="character" w:styleId="26">
    <w:name w:val="HTML Acronym"/>
    <w:basedOn w:val="20"/>
    <w:autoRedefine/>
    <w:semiHidden/>
    <w:unhideWhenUsed/>
    <w:qFormat/>
    <w:uiPriority w:val="99"/>
  </w:style>
  <w:style w:type="character" w:styleId="27">
    <w:name w:val="HTML Variable"/>
    <w:basedOn w:val="20"/>
    <w:autoRedefine/>
    <w:semiHidden/>
    <w:unhideWhenUsed/>
    <w:qFormat/>
    <w:uiPriority w:val="99"/>
  </w:style>
  <w:style w:type="character" w:styleId="28">
    <w:name w:val="Hyperlink"/>
    <w:basedOn w:val="20"/>
    <w:autoRedefine/>
    <w:semiHidden/>
    <w:unhideWhenUsed/>
    <w:qFormat/>
    <w:uiPriority w:val="99"/>
    <w:rPr>
      <w:color w:val="0000FF"/>
      <w:u w:val="none"/>
    </w:rPr>
  </w:style>
  <w:style w:type="character" w:styleId="29">
    <w:name w:val="HTML Code"/>
    <w:basedOn w:val="20"/>
    <w:autoRedefine/>
    <w:semiHidden/>
    <w:unhideWhenUsed/>
    <w:qFormat/>
    <w:uiPriority w:val="99"/>
    <w:rPr>
      <w:rFonts w:hint="default" w:ascii="monospace" w:hAnsi="monospace" w:eastAsia="monospace" w:cs="monospace"/>
      <w:sz w:val="20"/>
    </w:rPr>
  </w:style>
  <w:style w:type="character" w:styleId="30">
    <w:name w:val="HTML Cite"/>
    <w:basedOn w:val="20"/>
    <w:autoRedefine/>
    <w:semiHidden/>
    <w:unhideWhenUsed/>
    <w:qFormat/>
    <w:uiPriority w:val="99"/>
  </w:style>
  <w:style w:type="character" w:styleId="31">
    <w:name w:val="footnote reference"/>
    <w:basedOn w:val="20"/>
    <w:autoRedefine/>
    <w:qFormat/>
    <w:uiPriority w:val="99"/>
    <w:rPr>
      <w:vertAlign w:val="superscript"/>
    </w:rPr>
  </w:style>
  <w:style w:type="character" w:styleId="32">
    <w:name w:val="HTML Keyboard"/>
    <w:basedOn w:val="20"/>
    <w:autoRedefine/>
    <w:semiHidden/>
    <w:unhideWhenUsed/>
    <w:qFormat/>
    <w:uiPriority w:val="99"/>
    <w:rPr>
      <w:rFonts w:hint="default" w:ascii="monospace" w:hAnsi="monospace" w:eastAsia="monospace" w:cs="monospace"/>
      <w:sz w:val="20"/>
    </w:rPr>
  </w:style>
  <w:style w:type="character" w:styleId="33">
    <w:name w:val="HTML Sample"/>
    <w:basedOn w:val="20"/>
    <w:autoRedefine/>
    <w:semiHidden/>
    <w:unhideWhenUsed/>
    <w:qFormat/>
    <w:uiPriority w:val="99"/>
    <w:rPr>
      <w:rFonts w:hint="default" w:ascii="monospace" w:hAnsi="monospace" w:eastAsia="monospace" w:cs="monospace"/>
    </w:rPr>
  </w:style>
  <w:style w:type="paragraph" w:customStyle="1" w:styleId="34">
    <w:name w:val="正文1"/>
    <w:autoRedefine/>
    <w:qFormat/>
    <w:uiPriority w:val="99"/>
    <w:rPr>
      <w:rFonts w:ascii="Times New Roman" w:hAnsi="Times New Roman" w:eastAsia="宋体" w:cs="Times New Roman"/>
      <w:lang w:val="en-US" w:eastAsia="zh-CN" w:bidi="ar-SA"/>
    </w:rPr>
  </w:style>
  <w:style w:type="character" w:customStyle="1" w:styleId="35">
    <w:name w:val="页脚 Char"/>
    <w:link w:val="13"/>
    <w:autoRedefine/>
    <w:qFormat/>
    <w:uiPriority w:val="99"/>
    <w:rPr>
      <w:sz w:val="18"/>
    </w:rPr>
  </w:style>
  <w:style w:type="character" w:customStyle="1" w:styleId="36">
    <w:name w:val="页脚 Char1"/>
    <w:basedOn w:val="20"/>
    <w:autoRedefine/>
    <w:qFormat/>
    <w:uiPriority w:val="99"/>
    <w:rPr>
      <w:rFonts w:ascii="Times New Roman" w:hAnsi="Times New Roman" w:eastAsia="宋体" w:cs="Times New Roman"/>
      <w:sz w:val="18"/>
      <w:szCs w:val="18"/>
    </w:rPr>
  </w:style>
  <w:style w:type="character" w:customStyle="1" w:styleId="37">
    <w:name w:val="页眉 Char"/>
    <w:basedOn w:val="20"/>
    <w:link w:val="14"/>
    <w:autoRedefine/>
    <w:qFormat/>
    <w:uiPriority w:val="99"/>
    <w:rPr>
      <w:rFonts w:ascii="Times New Roman" w:hAnsi="Times New Roman" w:eastAsia="宋体" w:cs="Times New Roman"/>
      <w:sz w:val="18"/>
      <w:szCs w:val="18"/>
    </w:rPr>
  </w:style>
  <w:style w:type="character" w:customStyle="1" w:styleId="38">
    <w:name w:val="脚注文本 Char"/>
    <w:basedOn w:val="20"/>
    <w:link w:val="15"/>
    <w:autoRedefine/>
    <w:qFormat/>
    <w:uiPriority w:val="99"/>
    <w:rPr>
      <w:rFonts w:ascii="Times New Roman" w:hAnsi="Times New Roman" w:eastAsia="宋体" w:cs="Times New Roman"/>
      <w:sz w:val="18"/>
      <w:szCs w:val="18"/>
    </w:rPr>
  </w:style>
  <w:style w:type="character" w:customStyle="1" w:styleId="39">
    <w:name w:val="书籍标题1"/>
    <w:basedOn w:val="20"/>
    <w:autoRedefine/>
    <w:qFormat/>
    <w:uiPriority w:val="33"/>
    <w:rPr>
      <w:b/>
      <w:bCs/>
      <w:smallCaps/>
      <w:spacing w:val="5"/>
    </w:rPr>
  </w:style>
  <w:style w:type="character" w:customStyle="1" w:styleId="40">
    <w:name w:val="明显参考1"/>
    <w:basedOn w:val="20"/>
    <w:autoRedefine/>
    <w:qFormat/>
    <w:uiPriority w:val="32"/>
    <w:rPr>
      <w:b/>
      <w:bCs/>
      <w:smallCaps/>
      <w:color w:val="C0504D" w:themeColor="accent2"/>
      <w:spacing w:val="5"/>
      <w:u w:val="single"/>
      <w14:textFill>
        <w14:solidFill>
          <w14:schemeClr w14:val="accent2"/>
        </w14:solidFill>
      </w14:textFill>
    </w:rPr>
  </w:style>
  <w:style w:type="character" w:customStyle="1" w:styleId="41">
    <w:name w:val="不明显强调1"/>
    <w:basedOn w:val="2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42">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43">
    <w:name w:val="标题 3 Char"/>
    <w:basedOn w:val="20"/>
    <w:link w:val="5"/>
    <w:autoRedefine/>
    <w:qFormat/>
    <w:uiPriority w:val="9"/>
    <w:rPr>
      <w:rFonts w:ascii="Times New Roman" w:hAnsi="Times New Roman" w:eastAsia="宋体" w:cs="Times New Roman"/>
      <w:b/>
      <w:bCs/>
      <w:sz w:val="32"/>
      <w:szCs w:val="32"/>
    </w:rPr>
  </w:style>
  <w:style w:type="character" w:customStyle="1" w:styleId="44">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45">
    <w:name w:val="纯文本 Char"/>
    <w:basedOn w:val="20"/>
    <w:link w:val="12"/>
    <w:autoRedefine/>
    <w:qFormat/>
    <w:uiPriority w:val="0"/>
    <w:rPr>
      <w:rFonts w:ascii="宋体" w:hAnsi="Courier New" w:eastAsia="宋体" w:cs="Times New Roman"/>
      <w:kern w:val="2"/>
      <w:sz w:val="21"/>
    </w:rPr>
  </w:style>
  <w:style w:type="character" w:customStyle="1" w:styleId="46">
    <w:name w:val="hover"/>
    <w:basedOn w:val="20"/>
    <w:autoRedefine/>
    <w:qFormat/>
    <w:uiPriority w:val="0"/>
    <w:rPr>
      <w:color w:val="5FB878"/>
    </w:rPr>
  </w:style>
  <w:style w:type="character" w:customStyle="1" w:styleId="47">
    <w:name w:val="hover1"/>
    <w:basedOn w:val="20"/>
    <w:autoRedefine/>
    <w:qFormat/>
    <w:uiPriority w:val="0"/>
    <w:rPr>
      <w:color w:val="FFFFFF"/>
    </w:rPr>
  </w:style>
  <w:style w:type="character" w:customStyle="1" w:styleId="48">
    <w:name w:val="hover2"/>
    <w:basedOn w:val="20"/>
    <w:autoRedefine/>
    <w:qFormat/>
    <w:uiPriority w:val="0"/>
    <w:rPr>
      <w:color w:val="5FB878"/>
    </w:rPr>
  </w:style>
  <w:style w:type="paragraph" w:styleId="49">
    <w:name w:val="No Spacing"/>
    <w:autoRedefine/>
    <w:qFormat/>
    <w:uiPriority w:val="1"/>
    <w:rPr>
      <w:rFonts w:ascii="Times New Roman" w:hAnsi="Times New Roman" w:eastAsia="宋体" w:cs="Times New Roman"/>
      <w:sz w:val="24"/>
      <w:szCs w:val="24"/>
      <w:lang w:val="en-US" w:eastAsia="zh-CN" w:bidi="ar-SA"/>
    </w:rPr>
  </w:style>
  <w:style w:type="paragraph" w:customStyle="1" w:styleId="50">
    <w:name w:val="p0"/>
    <w:basedOn w:val="1"/>
    <w:autoRedefine/>
    <w:qFormat/>
    <w:uiPriority w:val="99"/>
    <w:pPr>
      <w:widowControl/>
    </w:pPr>
    <w:rPr>
      <w:rFonts w:ascii="Calibri" w:hAnsi="Calibri"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11019-E72F-44F5-9EF6-316ED290984F}">
  <ds:schemaRefs/>
</ds:datastoreItem>
</file>

<file path=docProps/app.xml><?xml version="1.0" encoding="utf-8"?>
<Properties xmlns="http://schemas.openxmlformats.org/officeDocument/2006/extended-properties" xmlns:vt="http://schemas.openxmlformats.org/officeDocument/2006/docPropsVTypes">
  <Template>Normal</Template>
  <Pages>13</Pages>
  <Words>3377</Words>
  <Characters>3536</Characters>
  <Lines>26</Lines>
  <Paragraphs>7</Paragraphs>
  <TotalTime>8</TotalTime>
  <ScaleCrop>false</ScaleCrop>
  <LinksUpToDate>false</LinksUpToDate>
  <CharactersWithSpaces>4118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2022-04-27T07:25:00Z</dcterms:created>
  <dc:creator>刺猬</dc:creator>
  <cp:lastModifiedBy>单佳明</cp:lastModifiedBy>
  <cp:lastPrinted>2024-01-24T08:14:00Z</cp:lastPrinted>
  <dcterms:modified xsi:type="dcterms:W3CDTF">2024-02-22T07:30:21Z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B6584BF39E034AB9AC4B3EC04479DB02_13</vt:lpwstr>
  </property>
</Properties>
</file>